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tblInd w:w="108" w:type="dxa"/>
        <w:tblLook w:val="01E0" w:firstRow="1" w:lastRow="1" w:firstColumn="1" w:lastColumn="1" w:noHBand="0" w:noVBand="0"/>
      </w:tblPr>
      <w:tblGrid>
        <w:gridCol w:w="2276"/>
        <w:gridCol w:w="2384"/>
        <w:gridCol w:w="1044"/>
        <w:gridCol w:w="4536"/>
      </w:tblGrid>
      <w:tr w:rsidR="00F56C93" w:rsidRPr="005556CB" w:rsidTr="00F8190A">
        <w:trPr>
          <w:trHeight w:val="1618"/>
        </w:trPr>
        <w:tc>
          <w:tcPr>
            <w:tcW w:w="2276" w:type="dxa"/>
          </w:tcPr>
          <w:p w:rsidR="00F56C93" w:rsidRPr="005556CB" w:rsidRDefault="00F56C93" w:rsidP="00F8190A">
            <w:pPr>
              <w:jc w:val="both"/>
              <w:rPr>
                <w:sz w:val="28"/>
                <w:szCs w:val="28"/>
                <w:vertAlign w:val="subscript"/>
              </w:rPr>
            </w:pPr>
          </w:p>
        </w:tc>
        <w:tc>
          <w:tcPr>
            <w:tcW w:w="2384" w:type="dxa"/>
          </w:tcPr>
          <w:p w:rsidR="00F56C93" w:rsidRPr="005556CB" w:rsidRDefault="00F56C93" w:rsidP="00F8190A">
            <w:pPr>
              <w:jc w:val="both"/>
              <w:rPr>
                <w:sz w:val="28"/>
                <w:szCs w:val="28"/>
              </w:rPr>
            </w:pPr>
          </w:p>
        </w:tc>
        <w:tc>
          <w:tcPr>
            <w:tcW w:w="1044" w:type="dxa"/>
          </w:tcPr>
          <w:p w:rsidR="00F56C93" w:rsidRPr="005556CB" w:rsidRDefault="00F56C93" w:rsidP="00F8190A">
            <w:pPr>
              <w:jc w:val="both"/>
              <w:rPr>
                <w:sz w:val="28"/>
                <w:szCs w:val="28"/>
              </w:rPr>
            </w:pPr>
          </w:p>
        </w:tc>
        <w:tc>
          <w:tcPr>
            <w:tcW w:w="4536" w:type="dxa"/>
          </w:tcPr>
          <w:p w:rsidR="00F56C93" w:rsidRPr="00DA05D1" w:rsidRDefault="00F56C93" w:rsidP="00F8190A">
            <w:pPr>
              <w:ind w:right="252"/>
              <w:jc w:val="both"/>
              <w:rPr>
                <w:color w:val="FF0000"/>
                <w:sz w:val="28"/>
                <w:szCs w:val="28"/>
                <w:lang w:val="ru-RU"/>
              </w:rPr>
            </w:pPr>
            <w:r w:rsidRPr="005556CB">
              <w:rPr>
                <w:sz w:val="28"/>
                <w:szCs w:val="28"/>
              </w:rPr>
              <w:t xml:space="preserve">Додаток </w:t>
            </w:r>
            <w:r w:rsidR="00B74FC4">
              <w:rPr>
                <w:sz w:val="28"/>
                <w:szCs w:val="28"/>
                <w:lang w:val="ru-RU"/>
              </w:rPr>
              <w:t>4</w:t>
            </w:r>
          </w:p>
          <w:p w:rsidR="00F56C93" w:rsidRPr="005556CB" w:rsidRDefault="00F56C93" w:rsidP="00F8190A">
            <w:pPr>
              <w:jc w:val="both"/>
              <w:rPr>
                <w:sz w:val="28"/>
                <w:szCs w:val="28"/>
              </w:rPr>
            </w:pPr>
          </w:p>
          <w:p w:rsidR="00F56C93" w:rsidRPr="005556CB" w:rsidRDefault="00F56C93" w:rsidP="00F8190A">
            <w:pPr>
              <w:jc w:val="both"/>
              <w:rPr>
                <w:sz w:val="28"/>
                <w:szCs w:val="28"/>
              </w:rPr>
            </w:pPr>
            <w:r w:rsidRPr="005556CB">
              <w:rPr>
                <w:sz w:val="28"/>
                <w:szCs w:val="28"/>
              </w:rPr>
              <w:t>ЗАТВЕРДЖЕНО</w:t>
            </w:r>
          </w:p>
          <w:p w:rsidR="00F56C93" w:rsidRDefault="00F56C93" w:rsidP="00F8190A">
            <w:pPr>
              <w:ind w:right="322"/>
              <w:jc w:val="both"/>
              <w:rPr>
                <w:sz w:val="28"/>
                <w:szCs w:val="28"/>
              </w:rPr>
            </w:pPr>
            <w:r w:rsidRPr="005556CB">
              <w:rPr>
                <w:sz w:val="28"/>
                <w:szCs w:val="28"/>
              </w:rPr>
              <w:t>наказом Державної екологічної</w:t>
            </w:r>
            <w:r>
              <w:rPr>
                <w:sz w:val="28"/>
                <w:szCs w:val="28"/>
              </w:rPr>
              <w:t xml:space="preserve"> інспекції</w:t>
            </w:r>
            <w:r w:rsidRPr="005556CB">
              <w:rPr>
                <w:sz w:val="28"/>
                <w:szCs w:val="28"/>
              </w:rPr>
              <w:t xml:space="preserve"> </w:t>
            </w:r>
            <w:r>
              <w:rPr>
                <w:sz w:val="28"/>
                <w:szCs w:val="28"/>
              </w:rPr>
              <w:t xml:space="preserve">у Львівській області  </w:t>
            </w:r>
          </w:p>
          <w:p w:rsidR="00F56C93" w:rsidRPr="005556CB" w:rsidRDefault="00F56C93" w:rsidP="00436BC0">
            <w:pPr>
              <w:ind w:right="322"/>
              <w:jc w:val="both"/>
              <w:rPr>
                <w:sz w:val="28"/>
                <w:szCs w:val="28"/>
              </w:rPr>
            </w:pPr>
            <w:r w:rsidRPr="00E26C59">
              <w:rPr>
                <w:rStyle w:val="rvts15"/>
                <w:sz w:val="28"/>
                <w:szCs w:val="28"/>
              </w:rPr>
              <w:t xml:space="preserve">від </w:t>
            </w:r>
            <w:r w:rsidR="00436BC0" w:rsidRPr="00436BC0">
              <w:rPr>
                <w:rStyle w:val="rvts15"/>
                <w:sz w:val="28"/>
                <w:szCs w:val="28"/>
              </w:rPr>
              <w:t>07 лютого</w:t>
            </w:r>
            <w:r w:rsidRPr="00436BC0">
              <w:rPr>
                <w:rStyle w:val="rvts15"/>
                <w:sz w:val="28"/>
                <w:szCs w:val="28"/>
              </w:rPr>
              <w:t xml:space="preserve"> 202</w:t>
            </w:r>
            <w:r w:rsidR="00436BC0" w:rsidRPr="00436BC0">
              <w:rPr>
                <w:rStyle w:val="rvts15"/>
                <w:sz w:val="28"/>
                <w:szCs w:val="28"/>
              </w:rPr>
              <w:t>2</w:t>
            </w:r>
            <w:r w:rsidRPr="00436BC0">
              <w:rPr>
                <w:rStyle w:val="rvts15"/>
                <w:sz w:val="28"/>
                <w:szCs w:val="28"/>
              </w:rPr>
              <w:t xml:space="preserve">р. № </w:t>
            </w:r>
            <w:r w:rsidR="00436BC0" w:rsidRPr="00436BC0">
              <w:rPr>
                <w:rStyle w:val="rvts15"/>
                <w:sz w:val="28"/>
                <w:szCs w:val="28"/>
              </w:rPr>
              <w:t>15</w:t>
            </w:r>
            <w:r w:rsidR="004B4395" w:rsidRPr="00436BC0">
              <w:rPr>
                <w:rStyle w:val="rvts15"/>
                <w:sz w:val="28"/>
                <w:szCs w:val="28"/>
              </w:rPr>
              <w:t xml:space="preserve"> – і </w:t>
            </w:r>
          </w:p>
        </w:tc>
      </w:tr>
    </w:tbl>
    <w:p w:rsidR="00F56C93" w:rsidRPr="005556CB" w:rsidRDefault="00F56C93" w:rsidP="00F56C93">
      <w:pPr>
        <w:jc w:val="center"/>
        <w:rPr>
          <w:sz w:val="28"/>
          <w:szCs w:val="28"/>
        </w:rPr>
      </w:pPr>
    </w:p>
    <w:p w:rsidR="00F56C93" w:rsidRDefault="00F56C93" w:rsidP="00F56C93">
      <w:pPr>
        <w:jc w:val="center"/>
        <w:rPr>
          <w:sz w:val="28"/>
          <w:szCs w:val="28"/>
        </w:rPr>
      </w:pPr>
    </w:p>
    <w:p w:rsidR="00F56C93" w:rsidRPr="005556CB" w:rsidRDefault="00F56C93" w:rsidP="00F56C93">
      <w:pPr>
        <w:jc w:val="center"/>
        <w:rPr>
          <w:sz w:val="28"/>
          <w:szCs w:val="28"/>
        </w:rPr>
      </w:pPr>
      <w:r w:rsidRPr="005556CB">
        <w:rPr>
          <w:sz w:val="28"/>
          <w:szCs w:val="28"/>
        </w:rPr>
        <w:t xml:space="preserve"> УМОВИ </w:t>
      </w:r>
    </w:p>
    <w:p w:rsidR="00F56C93" w:rsidRPr="002A7124" w:rsidRDefault="00F56C93" w:rsidP="00F56C93">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 xml:space="preserve">зайняття </w:t>
      </w:r>
      <w:r>
        <w:rPr>
          <w:rFonts w:eastAsia="Times New Roman"/>
          <w:snapToGrid w:val="0"/>
          <w:sz w:val="28"/>
          <w:szCs w:val="28"/>
        </w:rPr>
        <w:t xml:space="preserve">вакантної </w:t>
      </w:r>
      <w:r w:rsidRPr="003B6E85">
        <w:rPr>
          <w:rFonts w:eastAsia="Times New Roman"/>
          <w:snapToGrid w:val="0"/>
          <w:sz w:val="28"/>
          <w:szCs w:val="28"/>
        </w:rPr>
        <w:t xml:space="preserve">посади </w:t>
      </w:r>
      <w:r>
        <w:rPr>
          <w:rFonts w:eastAsia="Times New Roman"/>
          <w:snapToGrid w:val="0"/>
          <w:sz w:val="28"/>
          <w:szCs w:val="28"/>
        </w:rPr>
        <w:t>державної служби категорії “</w:t>
      </w:r>
      <w:r w:rsidRPr="00E0102B">
        <w:rPr>
          <w:rFonts w:eastAsia="Times New Roman"/>
          <w:snapToGrid w:val="0"/>
          <w:sz w:val="28"/>
          <w:szCs w:val="28"/>
          <w:lang w:val="ru-RU"/>
        </w:rPr>
        <w:t>В</w:t>
      </w:r>
      <w:r w:rsidRPr="003B6E85">
        <w:rPr>
          <w:rFonts w:eastAsia="Times New Roman"/>
          <w:snapToGrid w:val="0"/>
          <w:sz w:val="28"/>
          <w:szCs w:val="28"/>
        </w:rPr>
        <w:t xml:space="preserve">” </w:t>
      </w:r>
      <w:r w:rsidRPr="002A7124">
        <w:rPr>
          <w:rFonts w:eastAsia="Times New Roman"/>
          <w:snapToGrid w:val="0"/>
          <w:sz w:val="28"/>
          <w:szCs w:val="28"/>
        </w:rPr>
        <w:t>–</w:t>
      </w:r>
      <w:r>
        <w:rPr>
          <w:rFonts w:eastAsia="Times New Roman"/>
          <w:snapToGrid w:val="0"/>
          <w:sz w:val="28"/>
          <w:szCs w:val="28"/>
        </w:rPr>
        <w:t xml:space="preserve"> </w:t>
      </w:r>
      <w:r w:rsidRPr="002A7124">
        <w:rPr>
          <w:color w:val="000000"/>
          <w:spacing w:val="5"/>
          <w:sz w:val="28"/>
          <w:szCs w:val="28"/>
        </w:rPr>
        <w:t xml:space="preserve">головного спеціаліста </w:t>
      </w:r>
      <w:r>
        <w:rPr>
          <w:color w:val="000000"/>
          <w:spacing w:val="5"/>
          <w:sz w:val="28"/>
          <w:szCs w:val="28"/>
        </w:rPr>
        <w:t xml:space="preserve">сектору </w:t>
      </w:r>
      <w:r w:rsidRPr="002A7124">
        <w:rPr>
          <w:bCs/>
          <w:color w:val="000000"/>
          <w:spacing w:val="-1"/>
          <w:sz w:val="28"/>
          <w:szCs w:val="28"/>
        </w:rPr>
        <w:t xml:space="preserve">державного </w:t>
      </w:r>
      <w:r w:rsidR="00F2222F">
        <w:rPr>
          <w:bCs/>
          <w:color w:val="000000"/>
          <w:spacing w:val="-1"/>
          <w:sz w:val="28"/>
          <w:szCs w:val="28"/>
        </w:rPr>
        <w:t xml:space="preserve">ринкового </w:t>
      </w:r>
      <w:r w:rsidRPr="002A7124">
        <w:rPr>
          <w:bCs/>
          <w:color w:val="000000"/>
          <w:spacing w:val="-1"/>
          <w:sz w:val="28"/>
          <w:szCs w:val="28"/>
        </w:rPr>
        <w:t xml:space="preserve">нагляду </w:t>
      </w:r>
    </w:p>
    <w:p w:rsidR="00F56C93" w:rsidRPr="005556CB" w:rsidRDefault="00F56C93" w:rsidP="00F56C93">
      <w:pPr>
        <w:jc w:val="center"/>
        <w:rPr>
          <w:sz w:val="26"/>
          <w:szCs w:val="2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94"/>
        <w:gridCol w:w="3038"/>
        <w:gridCol w:w="6274"/>
      </w:tblGrid>
      <w:tr w:rsidR="00F56C93" w:rsidRPr="005556CB" w:rsidTr="00F8190A">
        <w:tc>
          <w:tcPr>
            <w:tcW w:w="10485" w:type="dxa"/>
            <w:gridSpan w:val="3"/>
            <w:vAlign w:val="center"/>
          </w:tcPr>
          <w:p w:rsidR="00F56C93" w:rsidRPr="005556CB" w:rsidRDefault="00F56C93" w:rsidP="00F8190A">
            <w:pPr>
              <w:spacing w:before="100" w:beforeAutospacing="1" w:after="100" w:afterAutospacing="1"/>
              <w:jc w:val="center"/>
              <w:rPr>
                <w:sz w:val="28"/>
                <w:szCs w:val="28"/>
              </w:rPr>
            </w:pPr>
            <w:r w:rsidRPr="005556CB">
              <w:rPr>
                <w:sz w:val="28"/>
                <w:szCs w:val="28"/>
              </w:rPr>
              <w:t>Загальні умови</w:t>
            </w:r>
          </w:p>
        </w:tc>
      </w:tr>
      <w:tr w:rsidR="00F56C93" w:rsidRPr="005556CB" w:rsidTr="00F8190A">
        <w:tc>
          <w:tcPr>
            <w:tcW w:w="3733" w:type="dxa"/>
            <w:gridSpan w:val="2"/>
          </w:tcPr>
          <w:p w:rsidR="00F56C93" w:rsidRPr="005556CB" w:rsidRDefault="00F56C93" w:rsidP="00F8190A">
            <w:pPr>
              <w:spacing w:before="100" w:beforeAutospacing="1" w:after="100" w:afterAutospacing="1"/>
              <w:ind w:left="118"/>
              <w:rPr>
                <w:sz w:val="28"/>
                <w:szCs w:val="28"/>
              </w:rPr>
            </w:pPr>
            <w:r w:rsidRPr="005556CB">
              <w:rPr>
                <w:sz w:val="28"/>
                <w:szCs w:val="28"/>
              </w:rPr>
              <w:t xml:space="preserve">Посадові обов’язки </w:t>
            </w:r>
          </w:p>
        </w:tc>
        <w:tc>
          <w:tcPr>
            <w:tcW w:w="6752" w:type="dxa"/>
            <w:shd w:val="clear" w:color="auto" w:fill="FFFFFF"/>
          </w:tcPr>
          <w:p w:rsidR="00F56C93" w:rsidRDefault="003C1F7D" w:rsidP="003C1F7D">
            <w:pPr>
              <w:jc w:val="both"/>
              <w:rPr>
                <w:color w:val="000000"/>
                <w:spacing w:val="5"/>
                <w:sz w:val="28"/>
                <w:szCs w:val="28"/>
              </w:rPr>
            </w:pPr>
            <w:r>
              <w:rPr>
                <w:bCs/>
                <w:sz w:val="28"/>
                <w:szCs w:val="28"/>
              </w:rPr>
              <w:t xml:space="preserve">  - </w:t>
            </w:r>
            <w:r w:rsidRPr="003C1F7D">
              <w:rPr>
                <w:bCs/>
                <w:sz w:val="28"/>
                <w:szCs w:val="28"/>
              </w:rPr>
              <w:t xml:space="preserve">Здійснює </w:t>
            </w:r>
            <w:r w:rsidRPr="003C1F7D">
              <w:rPr>
                <w:color w:val="000000"/>
                <w:spacing w:val="8"/>
                <w:sz w:val="28"/>
                <w:szCs w:val="28"/>
              </w:rPr>
              <w:t>державний ринковий нагляд характеристик продукції, в тому числі відбирає зразки продукції та забезпечує проведення їх експертизи, перевіряє додержання вимог щодо представлення продукції за місцем проведення ярмарки, виставки, показу чи демонстрації в інший спосіб продукції, здійснює в порядку, встановленому Кабінетом Міністрів України моніторинг причин і кількості звернень споживачів (користувачів) про захист їх права на безпечність продукції, готує у випадках та порядку, визначених законодавством проекти рішень про вжиття обмежувальних (корегувальних) заходів, здійснює контроль стану виконання суб’єктами господарювання цих рішень. Вживає заходів щодо попередження споживачів (користувачів) про виявлену органами державного ринкового нагляду небезпеку, яку становить продукція, налагоджує співпрацю з суб’єктами господарювання стосовно запобігання та зменшення ризиків , які становить продукція надана ними на ринку. Вживає в порядку визначеному законодавством заходів щодо притягнення до відповідальності осіб, винних у вчиненні порушень вимог Законів України «Про державний ринковий нагляд і контроль нехарчової продукції» та «Про загальну безпечність нехарчової продукції». Надсилає матеріали перевірок до правоохоронних органів для вирішення питань про притягнення до кримінальної відповідальності осіб, у діях яких містяться ознаки кримінальних правопорушень</w:t>
            </w:r>
            <w:r w:rsidRPr="003C1F7D">
              <w:rPr>
                <w:color w:val="000000"/>
                <w:spacing w:val="5"/>
                <w:sz w:val="28"/>
                <w:szCs w:val="28"/>
              </w:rPr>
              <w:t>.</w:t>
            </w:r>
          </w:p>
          <w:p w:rsidR="003C1F7D" w:rsidRDefault="003C1F7D" w:rsidP="003C1F7D">
            <w:pPr>
              <w:ind w:left="42" w:firstLine="426"/>
              <w:jc w:val="both"/>
              <w:rPr>
                <w:sz w:val="28"/>
                <w:szCs w:val="28"/>
              </w:rPr>
            </w:pPr>
            <w:r w:rsidRPr="0018507D">
              <w:rPr>
                <w:bCs/>
                <w:spacing w:val="-2"/>
                <w:sz w:val="28"/>
                <w:szCs w:val="28"/>
              </w:rPr>
              <w:lastRenderedPageBreak/>
              <w:t xml:space="preserve">- </w:t>
            </w:r>
            <w:r w:rsidRPr="0018507D">
              <w:rPr>
                <w:sz w:val="28"/>
                <w:szCs w:val="28"/>
              </w:rPr>
              <w:t>складає акти за результатами здійснення державного нагляду (контролю) за додержанням вимог законодавства з питань, що належать до його компетенції;</w:t>
            </w:r>
          </w:p>
          <w:p w:rsidR="003C1F7D" w:rsidRPr="00C4664F" w:rsidRDefault="003C1F7D" w:rsidP="003C1F7D">
            <w:pPr>
              <w:ind w:left="42" w:firstLine="426"/>
              <w:jc w:val="both"/>
              <w:rPr>
                <w:sz w:val="28"/>
                <w:szCs w:val="28"/>
              </w:rPr>
            </w:pPr>
            <w:r>
              <w:rPr>
                <w:sz w:val="28"/>
                <w:szCs w:val="28"/>
              </w:rPr>
              <w:t xml:space="preserve">- </w:t>
            </w:r>
            <w:r w:rsidRPr="00C4664F">
              <w:rPr>
                <w:sz w:val="28"/>
                <w:szCs w:val="28"/>
              </w:rPr>
              <w:t>надає обов’язкові до виконання приписи щодо усунення виявлених порушень вимог законодавства та здійснює контроль за їх виконанням</w:t>
            </w:r>
            <w:r>
              <w:rPr>
                <w:sz w:val="28"/>
                <w:szCs w:val="28"/>
              </w:rPr>
              <w:t>;</w:t>
            </w:r>
          </w:p>
          <w:p w:rsidR="003C1F7D" w:rsidRPr="0018507D" w:rsidRDefault="003C1F7D" w:rsidP="003C1F7D">
            <w:pPr>
              <w:ind w:left="42" w:firstLine="426"/>
              <w:jc w:val="both"/>
              <w:rPr>
                <w:sz w:val="28"/>
                <w:szCs w:val="28"/>
              </w:rPr>
            </w:pPr>
            <w:r w:rsidRPr="0018507D">
              <w:rPr>
                <w:sz w:val="28"/>
                <w:szCs w:val="28"/>
              </w:rPr>
              <w:t>- складає протоколи про адміністративні правопорушення та розгляд</w:t>
            </w:r>
            <w:r>
              <w:rPr>
                <w:sz w:val="28"/>
                <w:szCs w:val="28"/>
              </w:rPr>
              <w:t>ає</w:t>
            </w:r>
            <w:r w:rsidRPr="0018507D">
              <w:rPr>
                <w:sz w:val="28"/>
                <w:szCs w:val="28"/>
              </w:rPr>
              <w:t xml:space="preserve"> справ</w:t>
            </w:r>
            <w:r>
              <w:rPr>
                <w:sz w:val="28"/>
                <w:szCs w:val="28"/>
              </w:rPr>
              <w:t>и</w:t>
            </w:r>
            <w:r w:rsidRPr="0018507D">
              <w:rPr>
                <w:sz w:val="28"/>
                <w:szCs w:val="28"/>
              </w:rPr>
              <w:t xml:space="preserve"> про адміністративні правопорушення; </w:t>
            </w:r>
          </w:p>
          <w:p w:rsidR="003C1F7D" w:rsidRPr="0018507D" w:rsidRDefault="003C1F7D" w:rsidP="003C1F7D">
            <w:pPr>
              <w:ind w:left="42" w:firstLine="426"/>
              <w:jc w:val="both"/>
              <w:rPr>
                <w:sz w:val="28"/>
                <w:szCs w:val="28"/>
              </w:rPr>
            </w:pPr>
            <w:r w:rsidRPr="0018507D">
              <w:rPr>
                <w:sz w:val="28"/>
                <w:szCs w:val="28"/>
              </w:rPr>
              <w:t>- накладає адміністративні стягнення у випадках, передбачених законом;</w:t>
            </w:r>
          </w:p>
          <w:p w:rsidR="003C1F7D" w:rsidRDefault="003C1F7D" w:rsidP="003C1F7D">
            <w:pPr>
              <w:jc w:val="both"/>
              <w:rPr>
                <w:color w:val="000000"/>
                <w:spacing w:val="5"/>
                <w:sz w:val="28"/>
                <w:szCs w:val="28"/>
              </w:rPr>
            </w:pPr>
            <w:r w:rsidRPr="0018507D">
              <w:rPr>
                <w:sz w:val="28"/>
                <w:szCs w:val="28"/>
              </w:rPr>
              <w:t>- проводить розрахунок розміру шкоди, збитків і втрат, заподіяних державі внаслідок порушення законодавства з питань, що належать до компетенції</w:t>
            </w:r>
          </w:p>
          <w:p w:rsidR="003C1F7D" w:rsidRPr="003C1F7D" w:rsidRDefault="003C1F7D" w:rsidP="003C1F7D">
            <w:pPr>
              <w:jc w:val="both"/>
              <w:rPr>
                <w:sz w:val="28"/>
                <w:szCs w:val="28"/>
              </w:rPr>
            </w:pPr>
            <w:r w:rsidRPr="003C1F7D">
              <w:rPr>
                <w:color w:val="000000"/>
                <w:spacing w:val="5"/>
                <w:sz w:val="28"/>
                <w:szCs w:val="28"/>
              </w:rPr>
              <w:t xml:space="preserve">- </w:t>
            </w:r>
            <w:r w:rsidRPr="003C1F7D">
              <w:rPr>
                <w:sz w:val="28"/>
                <w:szCs w:val="28"/>
              </w:rPr>
              <w:t>Бере участь у підготовці пропозицій завідувачу Сектору щодо складання планів роботи, узагальненні результатів перевірок, веде облік матеріалів інспекційних перевірок та вжитих заходів адміністративного впливу до порушників вимог природоохоронного законодавства.</w:t>
            </w:r>
          </w:p>
          <w:p w:rsidR="003C1F7D" w:rsidRPr="003C1F7D" w:rsidRDefault="003C1F7D" w:rsidP="003C1F7D">
            <w:pPr>
              <w:jc w:val="both"/>
              <w:rPr>
                <w:color w:val="000000"/>
                <w:spacing w:val="5"/>
                <w:sz w:val="28"/>
                <w:szCs w:val="28"/>
              </w:rPr>
            </w:pPr>
            <w:r w:rsidRPr="003C1F7D">
              <w:rPr>
                <w:sz w:val="28"/>
                <w:szCs w:val="28"/>
              </w:rPr>
              <w:t>- Дотримується правил внутрішнього трудового розпорядку Інспекції умов безпечного ведення робіт норм і правил з охорони праці та техніки безпеки, культури спілкування та правил внутрішнього трудового розпорядку Інспекції.</w:t>
            </w:r>
          </w:p>
          <w:p w:rsidR="003C1F7D" w:rsidRDefault="003C1F7D" w:rsidP="003C1F7D">
            <w:pPr>
              <w:ind w:left="42" w:firstLine="426"/>
              <w:jc w:val="both"/>
              <w:rPr>
                <w:bCs/>
                <w:spacing w:val="-2"/>
                <w:sz w:val="28"/>
                <w:szCs w:val="28"/>
              </w:rPr>
            </w:pPr>
          </w:p>
          <w:p w:rsidR="00460EEB" w:rsidRPr="003C1F7D" w:rsidRDefault="00460EEB" w:rsidP="003C1F7D">
            <w:pPr>
              <w:ind w:left="42" w:firstLine="426"/>
              <w:jc w:val="both"/>
              <w:rPr>
                <w:bCs/>
                <w:spacing w:val="-2"/>
                <w:sz w:val="28"/>
                <w:szCs w:val="28"/>
              </w:rPr>
            </w:pPr>
          </w:p>
        </w:tc>
      </w:tr>
      <w:tr w:rsidR="00F56C93" w:rsidRPr="005556CB" w:rsidTr="00F8190A">
        <w:tc>
          <w:tcPr>
            <w:tcW w:w="3733" w:type="dxa"/>
            <w:gridSpan w:val="2"/>
          </w:tcPr>
          <w:p w:rsidR="00F56C93" w:rsidRPr="005556CB" w:rsidRDefault="00F56C93" w:rsidP="00F8190A">
            <w:pPr>
              <w:spacing w:before="100" w:beforeAutospacing="1" w:after="100" w:afterAutospacing="1"/>
              <w:ind w:left="118"/>
              <w:rPr>
                <w:sz w:val="28"/>
                <w:szCs w:val="28"/>
              </w:rPr>
            </w:pPr>
            <w:r w:rsidRPr="005556CB">
              <w:rPr>
                <w:sz w:val="28"/>
                <w:szCs w:val="28"/>
              </w:rPr>
              <w:lastRenderedPageBreak/>
              <w:t>Умови оплати праці</w:t>
            </w:r>
          </w:p>
        </w:tc>
        <w:tc>
          <w:tcPr>
            <w:tcW w:w="6752" w:type="dxa"/>
            <w:shd w:val="clear" w:color="auto" w:fill="FFFFFF"/>
          </w:tcPr>
          <w:p w:rsidR="00F56C93" w:rsidRPr="003B6E85" w:rsidRDefault="00F56C93" w:rsidP="00F8190A">
            <w:pPr>
              <w:ind w:left="112" w:right="164"/>
              <w:jc w:val="both"/>
              <w:rPr>
                <w:sz w:val="28"/>
                <w:szCs w:val="28"/>
              </w:rPr>
            </w:pPr>
            <w:r w:rsidRPr="003B6E85">
              <w:rPr>
                <w:sz w:val="28"/>
                <w:szCs w:val="28"/>
              </w:rPr>
              <w:t>посадовий окла</w:t>
            </w:r>
            <w:r w:rsidRPr="003B6E85">
              <w:rPr>
                <w:sz w:val="28"/>
                <w:szCs w:val="28"/>
                <w:shd w:val="clear" w:color="auto" w:fill="FFFFFF"/>
              </w:rPr>
              <w:t xml:space="preserve">д – </w:t>
            </w:r>
            <w:r>
              <w:rPr>
                <w:sz w:val="28"/>
                <w:szCs w:val="28"/>
                <w:shd w:val="clear" w:color="auto" w:fill="FFFFFF"/>
              </w:rPr>
              <w:t>5</w:t>
            </w:r>
            <w:r w:rsidR="00551338">
              <w:rPr>
                <w:sz w:val="28"/>
                <w:szCs w:val="28"/>
                <w:shd w:val="clear" w:color="auto" w:fill="FFFFFF"/>
              </w:rPr>
              <w:t>8</w:t>
            </w:r>
            <w:r>
              <w:rPr>
                <w:sz w:val="28"/>
                <w:szCs w:val="28"/>
                <w:shd w:val="clear" w:color="auto" w:fill="FFFFFF"/>
              </w:rPr>
              <w:t>00</w:t>
            </w:r>
            <w:r w:rsidRPr="003B6E85">
              <w:rPr>
                <w:sz w:val="28"/>
                <w:szCs w:val="28"/>
                <w:shd w:val="clear" w:color="auto" w:fill="FFFFFF"/>
              </w:rPr>
              <w:t xml:space="preserve"> грн.</w:t>
            </w:r>
            <w:r w:rsidRPr="003B6E85">
              <w:rPr>
                <w:sz w:val="28"/>
                <w:szCs w:val="28"/>
              </w:rPr>
              <w:t>;</w:t>
            </w:r>
          </w:p>
          <w:p w:rsidR="00F56C93" w:rsidRDefault="00F56C93" w:rsidP="00F8190A">
            <w:pPr>
              <w:ind w:left="122" w:right="128"/>
              <w:jc w:val="both"/>
              <w:rPr>
                <w:b/>
                <w:i/>
                <w:sz w:val="28"/>
                <w:szCs w:val="28"/>
              </w:rPr>
            </w:pPr>
            <w:r>
              <w:rPr>
                <w:sz w:val="28"/>
                <w:szCs w:val="28"/>
              </w:rPr>
              <w:t>надбавки, доплати, премії та компенсації відповідно                 до статті 52 Закону України “Про державну службу”</w:t>
            </w:r>
            <w:r>
              <w:rPr>
                <w:sz w:val="28"/>
                <w:szCs w:val="28"/>
                <w:lang w:val="ru-RU"/>
              </w:rPr>
              <w:t>;</w:t>
            </w:r>
          </w:p>
          <w:p w:rsidR="00F56C93" w:rsidRPr="005556CB" w:rsidRDefault="00F56C93" w:rsidP="00F8190A">
            <w:pPr>
              <w:ind w:left="122" w:right="128"/>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F56C93" w:rsidRPr="005556CB" w:rsidTr="00F8190A">
        <w:tc>
          <w:tcPr>
            <w:tcW w:w="3733" w:type="dxa"/>
            <w:gridSpan w:val="2"/>
            <w:vAlign w:val="center"/>
          </w:tcPr>
          <w:p w:rsidR="00F56C93" w:rsidRPr="005556CB" w:rsidRDefault="00F56C93" w:rsidP="00F8190A">
            <w:pPr>
              <w:spacing w:before="100" w:beforeAutospacing="1" w:after="100" w:afterAutospacing="1"/>
              <w:ind w:left="118"/>
              <w:rPr>
                <w:sz w:val="28"/>
                <w:szCs w:val="28"/>
              </w:rPr>
            </w:pPr>
            <w:r w:rsidRPr="005556CB">
              <w:rPr>
                <w:sz w:val="28"/>
                <w:szCs w:val="28"/>
              </w:rPr>
              <w:t>Інформація про строковість чи безстроковість призначення на посаду</w:t>
            </w:r>
          </w:p>
        </w:tc>
        <w:tc>
          <w:tcPr>
            <w:tcW w:w="6752" w:type="dxa"/>
          </w:tcPr>
          <w:p w:rsidR="00F56C93" w:rsidRDefault="00F56C93" w:rsidP="00E26C59">
            <w:pPr>
              <w:ind w:left="132" w:right="128"/>
              <w:rPr>
                <w:sz w:val="28"/>
                <w:szCs w:val="28"/>
              </w:rPr>
            </w:pPr>
            <w:r>
              <w:rPr>
                <w:sz w:val="28"/>
                <w:szCs w:val="28"/>
              </w:rPr>
              <w:t xml:space="preserve">строкове </w:t>
            </w:r>
            <w:r w:rsidRPr="005556CB">
              <w:rPr>
                <w:sz w:val="28"/>
                <w:szCs w:val="28"/>
              </w:rPr>
              <w:t>призначення на посаду</w:t>
            </w:r>
            <w:r w:rsidR="00156DAF">
              <w:rPr>
                <w:sz w:val="28"/>
                <w:szCs w:val="28"/>
              </w:rPr>
              <w:t>,</w:t>
            </w:r>
            <w:r w:rsidR="00E26C59">
              <w:rPr>
                <w:sz w:val="28"/>
                <w:szCs w:val="28"/>
              </w:rPr>
              <w:t xml:space="preserve"> </w:t>
            </w:r>
            <w:r w:rsidR="00E26C59" w:rsidRPr="00E26C59">
              <w:rPr>
                <w:sz w:val="28"/>
                <w:szCs w:val="28"/>
              </w:rPr>
              <w:t xml:space="preserve">на час соціальної відпустки </w:t>
            </w:r>
            <w:r w:rsidR="00254080">
              <w:rPr>
                <w:sz w:val="28"/>
                <w:szCs w:val="28"/>
              </w:rPr>
              <w:t>для</w:t>
            </w:r>
            <w:bookmarkStart w:id="0" w:name="_GoBack"/>
            <w:bookmarkEnd w:id="0"/>
            <w:r w:rsidR="00E26C59" w:rsidRPr="00E26C59">
              <w:rPr>
                <w:sz w:val="28"/>
                <w:szCs w:val="28"/>
              </w:rPr>
              <w:t xml:space="preserve"> догляду за дитиною основного працівника</w:t>
            </w:r>
            <w:r w:rsidR="00E26C59">
              <w:t xml:space="preserve"> </w:t>
            </w:r>
            <w:r w:rsidR="00E26C59" w:rsidRPr="003A3FFF">
              <w:t>.</w:t>
            </w:r>
          </w:p>
          <w:p w:rsidR="00F56C93" w:rsidRPr="005556CB" w:rsidRDefault="00F56C93" w:rsidP="00F8190A">
            <w:pPr>
              <w:ind w:left="132" w:right="128"/>
              <w:rPr>
                <w:sz w:val="28"/>
                <w:szCs w:val="28"/>
              </w:rPr>
            </w:pPr>
            <w:r>
              <w:rPr>
                <w:sz w:val="28"/>
                <w:szCs w:val="28"/>
              </w:rPr>
              <w:t>д</w:t>
            </w:r>
            <w:r w:rsidRPr="009A1C8E">
              <w:rPr>
                <w:sz w:val="28"/>
                <w:szCs w:val="28"/>
              </w:rPr>
              <w:t>ля осіб, які досягли 65-річного віку, строк призначення становить один рік з правом повторного призначення без обов’язкового проведення конкурсу щороку</w:t>
            </w:r>
          </w:p>
        </w:tc>
      </w:tr>
      <w:tr w:rsidR="00F56C93" w:rsidRPr="005556CB" w:rsidTr="00F8190A">
        <w:tc>
          <w:tcPr>
            <w:tcW w:w="3733" w:type="dxa"/>
            <w:gridSpan w:val="2"/>
          </w:tcPr>
          <w:p w:rsidR="00F56C93" w:rsidRPr="005556CB" w:rsidRDefault="00F56C93" w:rsidP="00F8190A">
            <w:pPr>
              <w:spacing w:before="100" w:beforeAutospacing="1" w:after="100" w:afterAutospacing="1"/>
              <w:ind w:left="118"/>
              <w:rPr>
                <w:sz w:val="28"/>
                <w:szCs w:val="28"/>
              </w:rPr>
            </w:pPr>
            <w:r w:rsidRPr="005556CB">
              <w:rPr>
                <w:sz w:val="28"/>
                <w:szCs w:val="28"/>
              </w:rPr>
              <w:lastRenderedPageBreak/>
              <w:t>Перелік інформації, необхідної для участі в конкурсі, та строк її подання</w:t>
            </w:r>
          </w:p>
        </w:tc>
        <w:tc>
          <w:tcPr>
            <w:tcW w:w="6752" w:type="dxa"/>
          </w:tcPr>
          <w:p w:rsidR="00F56C93" w:rsidRPr="005556CB" w:rsidRDefault="00F56C93" w:rsidP="00F8190A">
            <w:pPr>
              <w:ind w:left="122" w:right="128"/>
              <w:jc w:val="both"/>
              <w:rPr>
                <w:sz w:val="28"/>
                <w:szCs w:val="28"/>
              </w:rPr>
            </w:pPr>
            <w:r w:rsidRPr="005556CB">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F56C93" w:rsidRPr="005556CB" w:rsidRDefault="00F56C93" w:rsidP="00F8190A">
            <w:pPr>
              <w:ind w:left="122" w:right="128"/>
              <w:jc w:val="both"/>
              <w:rPr>
                <w:sz w:val="28"/>
                <w:szCs w:val="28"/>
              </w:rPr>
            </w:pPr>
            <w:r w:rsidRPr="005556CB">
              <w:rPr>
                <w:sz w:val="28"/>
                <w:szCs w:val="28"/>
              </w:rPr>
              <w:t>2) резюме за формою згідно з додатком</w:t>
            </w:r>
            <w:r w:rsidRPr="005556CB">
              <w:rPr>
                <w:shd w:val="clear" w:color="auto" w:fill="FFFFFF"/>
              </w:rPr>
              <w:t xml:space="preserve"> 2</w:t>
            </w:r>
            <w:r w:rsidRPr="005556CB">
              <w:rPr>
                <w:rStyle w:val="rvts37"/>
                <w:b/>
                <w:bCs/>
                <w:sz w:val="28"/>
                <w:szCs w:val="28"/>
                <w:shd w:val="clear" w:color="auto" w:fill="FFFFFF"/>
                <w:vertAlign w:val="superscript"/>
              </w:rPr>
              <w:t>1</w:t>
            </w:r>
            <w:r w:rsidRPr="005556CB">
              <w:rPr>
                <w:sz w:val="28"/>
                <w:szCs w:val="28"/>
              </w:rPr>
              <w:t>, в якому обов’язково зазначається така інформація:</w:t>
            </w:r>
          </w:p>
          <w:p w:rsidR="00F56C93" w:rsidRPr="005556CB" w:rsidRDefault="00F56C93" w:rsidP="00F8190A">
            <w:pPr>
              <w:ind w:left="122" w:right="128" w:firstLine="283"/>
              <w:jc w:val="both"/>
              <w:rPr>
                <w:sz w:val="28"/>
                <w:szCs w:val="28"/>
              </w:rPr>
            </w:pPr>
            <w:proofErr w:type="spellStart"/>
            <w:proofErr w:type="gramStart"/>
            <w:r w:rsidRPr="005556CB">
              <w:rPr>
                <w:sz w:val="28"/>
                <w:szCs w:val="28"/>
                <w:lang w:val="ru-RU"/>
              </w:rPr>
              <w:t>пр</w:t>
            </w:r>
            <w:proofErr w:type="gramEnd"/>
            <w:r w:rsidRPr="005556CB">
              <w:rPr>
                <w:sz w:val="28"/>
                <w:szCs w:val="28"/>
                <w:lang w:val="ru-RU"/>
              </w:rPr>
              <w:t>ізвище</w:t>
            </w:r>
            <w:proofErr w:type="spellEnd"/>
            <w:r w:rsidRPr="005556CB">
              <w:rPr>
                <w:sz w:val="28"/>
                <w:szCs w:val="28"/>
                <w:lang w:val="ru-RU"/>
              </w:rPr>
              <w:t xml:space="preserve">, </w:t>
            </w:r>
            <w:proofErr w:type="spellStart"/>
            <w:r w:rsidRPr="005556CB">
              <w:rPr>
                <w:sz w:val="28"/>
                <w:szCs w:val="28"/>
                <w:lang w:val="ru-RU"/>
              </w:rPr>
              <w:t>ім</w:t>
            </w:r>
            <w:proofErr w:type="spellEnd"/>
            <w:r w:rsidRPr="005556CB">
              <w:rPr>
                <w:sz w:val="28"/>
                <w:szCs w:val="28"/>
                <w:lang w:val="ru-RU"/>
              </w:rPr>
              <w:t>’</w:t>
            </w:r>
            <w:r w:rsidRPr="005556CB">
              <w:rPr>
                <w:sz w:val="28"/>
                <w:szCs w:val="28"/>
              </w:rPr>
              <w:t>я, по батькові кандидата</w:t>
            </w:r>
            <w:r w:rsidRPr="005556CB">
              <w:rPr>
                <w:sz w:val="28"/>
                <w:szCs w:val="28"/>
                <w:lang w:val="ru-RU"/>
              </w:rPr>
              <w:t>;</w:t>
            </w:r>
          </w:p>
          <w:p w:rsidR="00F56C93" w:rsidRPr="005556CB" w:rsidRDefault="00F56C93" w:rsidP="00F8190A">
            <w:pPr>
              <w:ind w:left="122" w:right="128" w:firstLine="283"/>
              <w:jc w:val="both"/>
              <w:rPr>
                <w:sz w:val="28"/>
                <w:szCs w:val="28"/>
              </w:rPr>
            </w:pPr>
            <w:r w:rsidRPr="005556CB">
              <w:rPr>
                <w:sz w:val="28"/>
                <w:szCs w:val="28"/>
              </w:rPr>
              <w:t>реквізити документа, що посвідчує особу та підтверджує громадянство</w:t>
            </w:r>
            <w:proofErr w:type="spellStart"/>
            <w:r w:rsidRPr="005556CB">
              <w:rPr>
                <w:sz w:val="28"/>
                <w:szCs w:val="28"/>
                <w:lang w:val="ru-RU"/>
              </w:rPr>
              <w:t>України</w:t>
            </w:r>
            <w:proofErr w:type="spellEnd"/>
            <w:r w:rsidRPr="005556CB">
              <w:rPr>
                <w:sz w:val="28"/>
                <w:szCs w:val="28"/>
                <w:lang w:val="ru-RU"/>
              </w:rPr>
              <w:t>;</w:t>
            </w:r>
          </w:p>
          <w:p w:rsidR="00F56C93" w:rsidRPr="005556CB" w:rsidRDefault="00F56C93" w:rsidP="00F8190A">
            <w:pPr>
              <w:ind w:left="122" w:right="128" w:firstLine="283"/>
              <w:jc w:val="both"/>
              <w:rPr>
                <w:sz w:val="28"/>
                <w:szCs w:val="28"/>
                <w:lang w:val="ru-RU"/>
              </w:rPr>
            </w:pPr>
            <w:r w:rsidRPr="005556CB">
              <w:rPr>
                <w:sz w:val="28"/>
                <w:szCs w:val="28"/>
              </w:rPr>
              <w:t>підтвердження наявності відповідного ступеня вищої освіти</w:t>
            </w:r>
            <w:r w:rsidRPr="005556CB">
              <w:rPr>
                <w:sz w:val="28"/>
                <w:szCs w:val="28"/>
                <w:lang w:val="ru-RU"/>
              </w:rPr>
              <w:t>;</w:t>
            </w:r>
          </w:p>
          <w:p w:rsidR="00F56C93" w:rsidRPr="005556CB" w:rsidRDefault="00F56C93" w:rsidP="00F8190A">
            <w:pPr>
              <w:ind w:left="122" w:right="128" w:firstLine="283"/>
              <w:jc w:val="both"/>
              <w:rPr>
                <w:sz w:val="28"/>
                <w:szCs w:val="28"/>
              </w:rPr>
            </w:pPr>
            <w:r w:rsidRPr="005556CB">
              <w:rPr>
                <w:sz w:val="28"/>
                <w:szCs w:val="28"/>
              </w:rPr>
              <w:t xml:space="preserve">підтвердження </w:t>
            </w:r>
            <w:r w:rsidRPr="005556CB">
              <w:rPr>
                <w:sz w:val="28"/>
                <w:szCs w:val="28"/>
                <w:lang w:val="ru-RU"/>
              </w:rPr>
              <w:t>р</w:t>
            </w:r>
            <w:proofErr w:type="spellStart"/>
            <w:r w:rsidRPr="005556CB">
              <w:rPr>
                <w:sz w:val="28"/>
                <w:szCs w:val="28"/>
              </w:rPr>
              <w:t>івня</w:t>
            </w:r>
            <w:proofErr w:type="spellEnd"/>
            <w:r w:rsidRPr="005556CB">
              <w:rPr>
                <w:sz w:val="28"/>
                <w:szCs w:val="28"/>
              </w:rPr>
              <w:t xml:space="preserve"> володіння державною мовою</w:t>
            </w:r>
            <w:r w:rsidRPr="005556CB">
              <w:rPr>
                <w:sz w:val="28"/>
                <w:szCs w:val="28"/>
                <w:lang w:val="ru-RU"/>
              </w:rPr>
              <w:t>;</w:t>
            </w:r>
          </w:p>
          <w:p w:rsidR="00F56C93" w:rsidRPr="005556CB" w:rsidRDefault="00F56C93" w:rsidP="00F8190A">
            <w:pPr>
              <w:ind w:left="122" w:right="128" w:firstLine="283"/>
              <w:jc w:val="both"/>
              <w:rPr>
                <w:sz w:val="28"/>
                <w:szCs w:val="28"/>
                <w:lang w:val="ru-RU"/>
              </w:rPr>
            </w:pPr>
            <w:r w:rsidRPr="005556CB">
              <w:rPr>
                <w:sz w:val="28"/>
                <w:szCs w:val="28"/>
              </w:rPr>
              <w:t>відомості про стаж роботи, стаж державної служби (за наявності), досвід роботи на відповідних посадах</w:t>
            </w:r>
            <w:r w:rsidRPr="005556CB">
              <w:rPr>
                <w:sz w:val="28"/>
                <w:szCs w:val="28"/>
                <w:lang w:val="ru-RU"/>
              </w:rPr>
              <w:t>;</w:t>
            </w:r>
          </w:p>
          <w:p w:rsidR="00F56C93" w:rsidRPr="005556CB" w:rsidRDefault="00F56C93" w:rsidP="00F8190A">
            <w:pPr>
              <w:ind w:left="122" w:right="128"/>
              <w:jc w:val="both"/>
              <w:rPr>
                <w:sz w:val="28"/>
                <w:szCs w:val="28"/>
                <w:lang w:val="ru-RU"/>
              </w:rPr>
            </w:pPr>
            <w:r w:rsidRPr="005556CB">
              <w:rPr>
                <w:sz w:val="28"/>
                <w:szCs w:val="28"/>
              </w:rPr>
              <w:t xml:space="preserve">3) заява, в якій особа повідомляє, що до неї не застосовуються заборони, визначені </w:t>
            </w:r>
            <w:hyperlink r:id="rId6" w:anchor="n13" w:tgtFrame="_blank" w:history="1">
              <w:r w:rsidRPr="005556CB">
                <w:rPr>
                  <w:sz w:val="28"/>
                  <w:szCs w:val="28"/>
                </w:rPr>
                <w:t>частиною третьою</w:t>
              </w:r>
            </w:hyperlink>
            <w:r w:rsidRPr="005556CB">
              <w:rPr>
                <w:sz w:val="28"/>
                <w:szCs w:val="28"/>
              </w:rPr>
              <w:t xml:space="preserve"> або </w:t>
            </w:r>
            <w:hyperlink r:id="rId7" w:anchor="n14" w:tgtFrame="_blank" w:history="1">
              <w:r w:rsidRPr="005556CB">
                <w:rPr>
                  <w:sz w:val="28"/>
                  <w:szCs w:val="28"/>
                </w:rPr>
                <w:t>четвертою</w:t>
              </w:r>
            </w:hyperlink>
            <w:r w:rsidRPr="005556CB">
              <w:rPr>
                <w:sz w:val="28"/>
                <w:szCs w:val="28"/>
              </w:rPr>
              <w:t xml:space="preserve"> статті 1 Закону України </w:t>
            </w:r>
            <w:r w:rsidRPr="005556CB">
              <w:rPr>
                <w:sz w:val="28"/>
                <w:szCs w:val="28"/>
                <w:lang w:val="ru-RU"/>
              </w:rPr>
              <w:t>“</w:t>
            </w:r>
            <w:r w:rsidRPr="005556CB">
              <w:rPr>
                <w:sz w:val="28"/>
                <w:szCs w:val="28"/>
              </w:rPr>
              <w:t>Про очищення влади</w:t>
            </w:r>
            <w:r w:rsidRPr="005556CB">
              <w:rPr>
                <w:sz w:val="28"/>
                <w:szCs w:val="28"/>
                <w:lang w:val="ru-RU"/>
              </w:rPr>
              <w:t>”</w:t>
            </w:r>
            <w:r w:rsidRPr="005556CB">
              <w:rPr>
                <w:sz w:val="28"/>
                <w:szCs w:val="28"/>
              </w:rPr>
              <w:t>, та надає згоду на проходження перевірки та на оприлюднення відомостей стосовно неї відповідно до зазначеного Закону</w:t>
            </w:r>
            <w:r w:rsidRPr="005556CB">
              <w:rPr>
                <w:sz w:val="28"/>
                <w:szCs w:val="28"/>
                <w:lang w:val="ru-RU"/>
              </w:rPr>
              <w:t>.</w:t>
            </w:r>
          </w:p>
          <w:p w:rsidR="008C5312" w:rsidRDefault="00F56C93" w:rsidP="008C5312">
            <w:pPr>
              <w:ind w:left="122" w:right="128"/>
              <w:jc w:val="both"/>
              <w:rPr>
                <w:rFonts w:eastAsia="Times New Roman"/>
                <w:sz w:val="28"/>
                <w:szCs w:val="28"/>
              </w:rPr>
            </w:pPr>
            <w:r w:rsidRPr="005556CB">
              <w:rPr>
                <w:sz w:val="28"/>
                <w:szCs w:val="28"/>
              </w:rPr>
              <w:t xml:space="preserve">Інформація подається через </w:t>
            </w:r>
            <w:r w:rsidRPr="005556CB">
              <w:rPr>
                <w:rFonts w:eastAsia="Times New Roman"/>
                <w:sz w:val="28"/>
                <w:szCs w:val="28"/>
              </w:rPr>
              <w:t>Єдиний портал              вакансій державної служби (</w:t>
            </w:r>
            <w:r w:rsidRPr="005556CB">
              <w:rPr>
                <w:rFonts w:eastAsia="Times New Roman"/>
                <w:sz w:val="28"/>
                <w:szCs w:val="28"/>
                <w:lang w:val="en-US"/>
              </w:rPr>
              <w:t>career</w:t>
            </w:r>
            <w:r w:rsidRPr="005556CB">
              <w:rPr>
                <w:rFonts w:eastAsia="Times New Roman"/>
                <w:sz w:val="28"/>
                <w:szCs w:val="28"/>
              </w:rPr>
              <w:t>.</w:t>
            </w:r>
            <w:proofErr w:type="spellStart"/>
            <w:r w:rsidRPr="005556CB">
              <w:rPr>
                <w:rFonts w:eastAsia="Times New Roman"/>
                <w:sz w:val="28"/>
                <w:szCs w:val="28"/>
                <w:lang w:val="en-US"/>
              </w:rPr>
              <w:t>gov</w:t>
            </w:r>
            <w:proofErr w:type="spellEnd"/>
            <w:r w:rsidRPr="005556CB">
              <w:rPr>
                <w:rFonts w:eastAsia="Times New Roman"/>
                <w:sz w:val="28"/>
                <w:szCs w:val="28"/>
              </w:rPr>
              <w:t>.</w:t>
            </w:r>
            <w:proofErr w:type="spellStart"/>
            <w:r w:rsidRPr="005556CB">
              <w:rPr>
                <w:rFonts w:eastAsia="Times New Roman"/>
                <w:sz w:val="28"/>
                <w:szCs w:val="28"/>
                <w:lang w:val="en-US"/>
              </w:rPr>
              <w:t>ua</w:t>
            </w:r>
            <w:proofErr w:type="spellEnd"/>
            <w:r w:rsidRPr="005556CB">
              <w:rPr>
                <w:rFonts w:eastAsia="Times New Roman"/>
                <w:sz w:val="28"/>
                <w:szCs w:val="28"/>
              </w:rPr>
              <w:t>)</w:t>
            </w:r>
            <w:r>
              <w:rPr>
                <w:rFonts w:eastAsia="Times New Roman"/>
                <w:sz w:val="28"/>
                <w:szCs w:val="28"/>
              </w:rPr>
              <w:t xml:space="preserve"> </w:t>
            </w:r>
          </w:p>
          <w:p w:rsidR="00F56C93" w:rsidRPr="005556CB" w:rsidRDefault="00F56C93" w:rsidP="00CB05CB">
            <w:pPr>
              <w:ind w:right="128"/>
              <w:jc w:val="both"/>
              <w:rPr>
                <w:sz w:val="28"/>
                <w:szCs w:val="28"/>
              </w:rPr>
            </w:pPr>
            <w:r>
              <w:rPr>
                <w:sz w:val="28"/>
                <w:szCs w:val="28"/>
              </w:rPr>
              <w:t>до 17</w:t>
            </w:r>
            <w:r w:rsidRPr="005556CB">
              <w:rPr>
                <w:sz w:val="28"/>
                <w:szCs w:val="28"/>
              </w:rPr>
              <w:t xml:space="preserve"> год. 00 хв. </w:t>
            </w:r>
            <w:r w:rsidR="00F349DD">
              <w:rPr>
                <w:sz w:val="28"/>
                <w:szCs w:val="28"/>
              </w:rPr>
              <w:t>2</w:t>
            </w:r>
            <w:r w:rsidR="00CB05CB">
              <w:rPr>
                <w:sz w:val="28"/>
                <w:szCs w:val="28"/>
              </w:rPr>
              <w:t>8</w:t>
            </w:r>
            <w:r w:rsidR="00F349DD">
              <w:rPr>
                <w:sz w:val="28"/>
                <w:szCs w:val="28"/>
              </w:rPr>
              <w:t xml:space="preserve"> лютого 2022</w:t>
            </w:r>
            <w:r w:rsidRPr="005556CB">
              <w:rPr>
                <w:sz w:val="28"/>
                <w:szCs w:val="28"/>
              </w:rPr>
              <w:t xml:space="preserve"> року</w:t>
            </w:r>
          </w:p>
        </w:tc>
      </w:tr>
      <w:tr w:rsidR="00F56C93" w:rsidRPr="005556CB" w:rsidTr="00F8190A">
        <w:tc>
          <w:tcPr>
            <w:tcW w:w="3733" w:type="dxa"/>
            <w:gridSpan w:val="2"/>
          </w:tcPr>
          <w:p w:rsidR="00F56C93" w:rsidRPr="005556CB" w:rsidRDefault="00F56C93" w:rsidP="00F8190A">
            <w:pPr>
              <w:spacing w:before="100" w:beforeAutospacing="1" w:after="100" w:afterAutospacing="1"/>
              <w:ind w:left="142"/>
              <w:rPr>
                <w:sz w:val="28"/>
                <w:szCs w:val="28"/>
              </w:rPr>
            </w:pPr>
            <w:r w:rsidRPr="005556CB">
              <w:rPr>
                <w:sz w:val="28"/>
                <w:szCs w:val="28"/>
              </w:rPr>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752" w:type="dxa"/>
          </w:tcPr>
          <w:p w:rsidR="00F56C93" w:rsidRPr="005556CB" w:rsidRDefault="00F56C93" w:rsidP="00F8190A">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56C93" w:rsidRPr="005556CB" w:rsidTr="00F8190A">
        <w:tc>
          <w:tcPr>
            <w:tcW w:w="3733" w:type="dxa"/>
            <w:gridSpan w:val="2"/>
          </w:tcPr>
          <w:p w:rsidR="00F56C93" w:rsidRPr="005556CB" w:rsidRDefault="00F56C93" w:rsidP="00F8190A">
            <w:pPr>
              <w:ind w:left="118"/>
              <w:rPr>
                <w:sz w:val="28"/>
                <w:szCs w:val="28"/>
              </w:rPr>
            </w:pPr>
            <w:r w:rsidRPr="005556CB">
              <w:rPr>
                <w:sz w:val="28"/>
                <w:szCs w:val="28"/>
              </w:rPr>
              <w:t>Дата і час початку проведення тестування</w:t>
            </w:r>
            <w:r>
              <w:rPr>
                <w:sz w:val="28"/>
                <w:szCs w:val="28"/>
              </w:rPr>
              <w:t xml:space="preserve"> кандидатів</w:t>
            </w:r>
            <w:r w:rsidRPr="005556CB">
              <w:rPr>
                <w:sz w:val="28"/>
                <w:szCs w:val="28"/>
              </w:rPr>
              <w:t xml:space="preserve">. </w:t>
            </w:r>
          </w:p>
          <w:p w:rsidR="00F56C93" w:rsidRPr="00BC20A1" w:rsidRDefault="00F56C93" w:rsidP="00F8190A">
            <w:pPr>
              <w:ind w:left="118"/>
              <w:rPr>
                <w:sz w:val="16"/>
                <w:szCs w:val="16"/>
              </w:rPr>
            </w:pPr>
          </w:p>
          <w:p w:rsidR="006045AD" w:rsidRDefault="006045AD" w:rsidP="00F8190A">
            <w:pPr>
              <w:ind w:left="118"/>
              <w:rPr>
                <w:sz w:val="28"/>
                <w:szCs w:val="28"/>
              </w:rPr>
            </w:pPr>
          </w:p>
          <w:p w:rsidR="006045AD" w:rsidRDefault="006045AD" w:rsidP="00F8190A">
            <w:pPr>
              <w:ind w:left="118"/>
              <w:rPr>
                <w:sz w:val="28"/>
                <w:szCs w:val="28"/>
              </w:rPr>
            </w:pPr>
          </w:p>
          <w:p w:rsidR="006045AD" w:rsidRDefault="006045AD" w:rsidP="00F8190A">
            <w:pPr>
              <w:ind w:left="118"/>
              <w:rPr>
                <w:sz w:val="28"/>
                <w:szCs w:val="28"/>
              </w:rPr>
            </w:pPr>
          </w:p>
          <w:p w:rsidR="006045AD" w:rsidRDefault="006045AD" w:rsidP="00F8190A">
            <w:pPr>
              <w:ind w:left="118"/>
              <w:rPr>
                <w:sz w:val="28"/>
                <w:szCs w:val="28"/>
              </w:rPr>
            </w:pPr>
          </w:p>
          <w:p w:rsidR="006045AD" w:rsidRDefault="006045AD" w:rsidP="00F8190A">
            <w:pPr>
              <w:ind w:left="118"/>
              <w:rPr>
                <w:sz w:val="28"/>
                <w:szCs w:val="28"/>
              </w:rPr>
            </w:pPr>
          </w:p>
          <w:p w:rsidR="006045AD" w:rsidRDefault="006045AD" w:rsidP="00F8190A">
            <w:pPr>
              <w:ind w:left="118"/>
              <w:rPr>
                <w:sz w:val="28"/>
                <w:szCs w:val="28"/>
              </w:rPr>
            </w:pPr>
          </w:p>
          <w:p w:rsidR="00F56C93" w:rsidRPr="005556CB" w:rsidRDefault="00F56C93" w:rsidP="00F8190A">
            <w:pPr>
              <w:ind w:left="118"/>
              <w:rPr>
                <w:sz w:val="28"/>
                <w:szCs w:val="28"/>
              </w:rPr>
            </w:pPr>
            <w:r w:rsidRPr="005556CB">
              <w:rPr>
                <w:sz w:val="28"/>
                <w:szCs w:val="28"/>
              </w:rPr>
              <w:t>Місце аб</w:t>
            </w:r>
            <w:r w:rsidR="006045AD">
              <w:rPr>
                <w:sz w:val="28"/>
                <w:szCs w:val="28"/>
              </w:rPr>
              <w:t>о спосіб проведення тестування</w:t>
            </w:r>
          </w:p>
          <w:p w:rsidR="00F56C93" w:rsidRPr="005556CB" w:rsidRDefault="00F56C93" w:rsidP="00F8190A">
            <w:pPr>
              <w:ind w:left="118"/>
              <w:rPr>
                <w:sz w:val="28"/>
                <w:szCs w:val="28"/>
              </w:rPr>
            </w:pPr>
          </w:p>
          <w:p w:rsidR="00F56C93" w:rsidRPr="005556CB" w:rsidRDefault="00F56C93" w:rsidP="00F8190A">
            <w:pPr>
              <w:ind w:left="118"/>
              <w:rPr>
                <w:sz w:val="28"/>
                <w:szCs w:val="28"/>
              </w:rPr>
            </w:pPr>
            <w:r w:rsidRPr="005556CB">
              <w:rPr>
                <w:sz w:val="28"/>
                <w:szCs w:val="28"/>
              </w:rPr>
              <w:t xml:space="preserve">Місце або спосіб </w:t>
            </w:r>
            <w:r w:rsidRPr="005556CB">
              <w:rPr>
                <w:sz w:val="28"/>
                <w:szCs w:val="28"/>
              </w:rPr>
              <w:lastRenderedPageBreak/>
              <w:t>проведення співбесіди (із зазначенням електронної платформи для комунікації дистанційно).</w:t>
            </w:r>
          </w:p>
        </w:tc>
        <w:tc>
          <w:tcPr>
            <w:tcW w:w="6752" w:type="dxa"/>
          </w:tcPr>
          <w:p w:rsidR="00F56C93" w:rsidRPr="00156DAF" w:rsidRDefault="00F349DD" w:rsidP="00F8190A">
            <w:pPr>
              <w:ind w:left="122" w:right="128"/>
              <w:jc w:val="both"/>
              <w:rPr>
                <w:sz w:val="28"/>
                <w:szCs w:val="28"/>
              </w:rPr>
            </w:pPr>
            <w:r>
              <w:rPr>
                <w:sz w:val="28"/>
                <w:szCs w:val="28"/>
              </w:rPr>
              <w:lastRenderedPageBreak/>
              <w:t>0</w:t>
            </w:r>
            <w:r w:rsidR="00CB05CB">
              <w:rPr>
                <w:sz w:val="28"/>
                <w:szCs w:val="28"/>
              </w:rPr>
              <w:t>3</w:t>
            </w:r>
            <w:r>
              <w:rPr>
                <w:sz w:val="28"/>
                <w:szCs w:val="28"/>
              </w:rPr>
              <w:t xml:space="preserve"> березня</w:t>
            </w:r>
            <w:r w:rsidR="00F56C93" w:rsidRPr="00156DAF">
              <w:rPr>
                <w:sz w:val="28"/>
                <w:szCs w:val="28"/>
              </w:rPr>
              <w:t xml:space="preserve"> 202</w:t>
            </w:r>
            <w:r>
              <w:rPr>
                <w:sz w:val="28"/>
                <w:szCs w:val="28"/>
              </w:rPr>
              <w:t>2</w:t>
            </w:r>
            <w:r w:rsidR="00F56C93" w:rsidRPr="00156DAF">
              <w:rPr>
                <w:sz w:val="28"/>
                <w:szCs w:val="28"/>
              </w:rPr>
              <w:t xml:space="preserve"> року з 10 год. 00 хв.</w:t>
            </w:r>
            <w:r w:rsidR="00156DAF" w:rsidRPr="00156DAF">
              <w:rPr>
                <w:sz w:val="28"/>
                <w:szCs w:val="28"/>
              </w:rPr>
              <w:t xml:space="preserve"> до 17.00</w:t>
            </w:r>
          </w:p>
          <w:p w:rsidR="00F56C93" w:rsidRPr="00156DAF" w:rsidRDefault="00F56C93" w:rsidP="00F8190A">
            <w:pPr>
              <w:ind w:left="122" w:right="128"/>
              <w:jc w:val="both"/>
              <w:rPr>
                <w:sz w:val="16"/>
                <w:szCs w:val="16"/>
              </w:rPr>
            </w:pPr>
          </w:p>
          <w:p w:rsidR="00F56C93" w:rsidRPr="00156DAF" w:rsidRDefault="00F56C93" w:rsidP="00F8190A">
            <w:pPr>
              <w:ind w:left="122" w:right="128"/>
              <w:jc w:val="both"/>
              <w:rPr>
                <w:sz w:val="16"/>
                <w:szCs w:val="16"/>
              </w:rPr>
            </w:pPr>
          </w:p>
          <w:p w:rsidR="006045AD" w:rsidRPr="006045AD" w:rsidRDefault="006045AD" w:rsidP="006045AD">
            <w:pPr>
              <w:pStyle w:val="rvps14"/>
              <w:spacing w:before="150" w:beforeAutospacing="0" w:after="150" w:afterAutospacing="0"/>
              <w:ind w:left="207"/>
              <w:jc w:val="both"/>
              <w:rPr>
                <w:sz w:val="28"/>
                <w:szCs w:val="28"/>
              </w:rPr>
            </w:pPr>
            <w:r w:rsidRPr="006045AD">
              <w:rPr>
                <w:sz w:val="28"/>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 засоби індивідуального захисту.</w:t>
            </w:r>
          </w:p>
          <w:p w:rsidR="00F56C93" w:rsidRDefault="00F56C93" w:rsidP="00F8190A">
            <w:pPr>
              <w:ind w:left="122" w:right="128"/>
              <w:jc w:val="both"/>
              <w:rPr>
                <w:sz w:val="16"/>
                <w:szCs w:val="16"/>
              </w:rPr>
            </w:pPr>
          </w:p>
          <w:p w:rsidR="00F56C93" w:rsidRDefault="00F56C93" w:rsidP="00F8190A">
            <w:pPr>
              <w:ind w:left="122" w:right="128"/>
              <w:jc w:val="both"/>
              <w:rPr>
                <w:sz w:val="16"/>
                <w:szCs w:val="16"/>
              </w:rPr>
            </w:pPr>
          </w:p>
          <w:p w:rsidR="00F56C93" w:rsidRDefault="00F56C93" w:rsidP="00F8190A">
            <w:pPr>
              <w:ind w:left="122" w:right="128"/>
              <w:jc w:val="both"/>
              <w:rPr>
                <w:sz w:val="16"/>
                <w:szCs w:val="16"/>
              </w:rPr>
            </w:pPr>
            <w:proofErr w:type="spellStart"/>
            <w:r>
              <w:rPr>
                <w:sz w:val="28"/>
                <w:szCs w:val="28"/>
              </w:rPr>
              <w:t>м.Львів</w:t>
            </w:r>
            <w:proofErr w:type="spellEnd"/>
            <w:r w:rsidRPr="005556CB">
              <w:rPr>
                <w:sz w:val="28"/>
                <w:szCs w:val="28"/>
              </w:rPr>
              <w:t xml:space="preserve">, </w:t>
            </w:r>
            <w:r>
              <w:rPr>
                <w:sz w:val="28"/>
                <w:szCs w:val="28"/>
              </w:rPr>
              <w:t xml:space="preserve">вул. </w:t>
            </w:r>
            <w:proofErr w:type="spellStart"/>
            <w:r>
              <w:rPr>
                <w:sz w:val="28"/>
                <w:szCs w:val="28"/>
              </w:rPr>
              <w:t>Стрийська</w:t>
            </w:r>
            <w:proofErr w:type="spellEnd"/>
            <w:r>
              <w:rPr>
                <w:sz w:val="28"/>
                <w:szCs w:val="28"/>
              </w:rPr>
              <w:t xml:space="preserve"> 98, Державна екологічна інспекція у Львівській області </w:t>
            </w:r>
            <w:r w:rsidRPr="005556CB">
              <w:rPr>
                <w:sz w:val="28"/>
                <w:szCs w:val="28"/>
              </w:rPr>
              <w:t>(проведення тестування за фізичної присутності кандидатів)</w:t>
            </w:r>
          </w:p>
          <w:p w:rsidR="00F56C93" w:rsidRPr="006D3F25" w:rsidRDefault="00F56C93" w:rsidP="00F8190A">
            <w:pPr>
              <w:ind w:right="128"/>
              <w:jc w:val="both"/>
              <w:rPr>
                <w:b/>
                <w:sz w:val="16"/>
                <w:szCs w:val="16"/>
              </w:rPr>
            </w:pPr>
          </w:p>
          <w:p w:rsidR="00F56C93" w:rsidRDefault="00F56C93" w:rsidP="00F8190A">
            <w:pPr>
              <w:ind w:left="122" w:right="128"/>
              <w:jc w:val="both"/>
              <w:rPr>
                <w:sz w:val="28"/>
                <w:szCs w:val="28"/>
              </w:rPr>
            </w:pPr>
            <w:proofErr w:type="spellStart"/>
            <w:r>
              <w:rPr>
                <w:sz w:val="28"/>
                <w:szCs w:val="28"/>
              </w:rPr>
              <w:lastRenderedPageBreak/>
              <w:t>м.Львів</w:t>
            </w:r>
            <w:proofErr w:type="spellEnd"/>
            <w:r w:rsidRPr="005556CB">
              <w:rPr>
                <w:sz w:val="28"/>
                <w:szCs w:val="28"/>
              </w:rPr>
              <w:t xml:space="preserve">, </w:t>
            </w:r>
            <w:r>
              <w:rPr>
                <w:sz w:val="28"/>
                <w:szCs w:val="28"/>
              </w:rPr>
              <w:t xml:space="preserve">вул. </w:t>
            </w:r>
            <w:proofErr w:type="spellStart"/>
            <w:r>
              <w:rPr>
                <w:sz w:val="28"/>
                <w:szCs w:val="28"/>
              </w:rPr>
              <w:t>Стрийська</w:t>
            </w:r>
            <w:proofErr w:type="spellEnd"/>
            <w:r>
              <w:rPr>
                <w:sz w:val="28"/>
                <w:szCs w:val="28"/>
              </w:rPr>
              <w:t xml:space="preserve"> 98, Державна екологічна інспекція у Львівській області</w:t>
            </w:r>
            <w:r w:rsidRPr="005556CB">
              <w:rPr>
                <w:sz w:val="28"/>
                <w:szCs w:val="28"/>
              </w:rPr>
              <w:t xml:space="preserve"> </w:t>
            </w:r>
          </w:p>
          <w:p w:rsidR="00F56C93" w:rsidRPr="005556CB" w:rsidRDefault="00F56C93" w:rsidP="00F8190A">
            <w:pPr>
              <w:ind w:left="122" w:right="128"/>
              <w:jc w:val="both"/>
              <w:rPr>
                <w:b/>
                <w:sz w:val="28"/>
                <w:szCs w:val="28"/>
              </w:rPr>
            </w:pPr>
            <w:r w:rsidRPr="005556CB">
              <w:rPr>
                <w:sz w:val="28"/>
                <w:szCs w:val="28"/>
              </w:rPr>
              <w:t xml:space="preserve">(проведення </w:t>
            </w:r>
            <w:r>
              <w:rPr>
                <w:sz w:val="28"/>
                <w:szCs w:val="28"/>
              </w:rPr>
              <w:t>співбесіди</w:t>
            </w:r>
            <w:r w:rsidRPr="005556CB">
              <w:rPr>
                <w:sz w:val="28"/>
                <w:szCs w:val="28"/>
              </w:rPr>
              <w:t xml:space="preserve"> за фізичної присутності кандидатів)</w:t>
            </w:r>
          </w:p>
          <w:p w:rsidR="00F56C93" w:rsidRPr="005556CB" w:rsidRDefault="00F56C93" w:rsidP="00F8190A">
            <w:pPr>
              <w:jc w:val="both"/>
              <w:rPr>
                <w:sz w:val="28"/>
                <w:szCs w:val="28"/>
              </w:rPr>
            </w:pPr>
          </w:p>
        </w:tc>
      </w:tr>
      <w:tr w:rsidR="00F56C93" w:rsidRPr="005556CB" w:rsidTr="00F8190A">
        <w:trPr>
          <w:trHeight w:val="2215"/>
        </w:trPr>
        <w:tc>
          <w:tcPr>
            <w:tcW w:w="3733" w:type="dxa"/>
            <w:gridSpan w:val="2"/>
          </w:tcPr>
          <w:p w:rsidR="00F56C93" w:rsidRPr="005556CB" w:rsidRDefault="00F56C93" w:rsidP="00F8190A">
            <w:pPr>
              <w:spacing w:before="100" w:beforeAutospacing="1" w:after="100" w:afterAutospacing="1"/>
              <w:ind w:left="118"/>
              <w:rPr>
                <w:sz w:val="28"/>
                <w:szCs w:val="28"/>
              </w:rPr>
            </w:pPr>
            <w:r w:rsidRPr="005556CB">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752" w:type="dxa"/>
          </w:tcPr>
          <w:p w:rsidR="00F56C93" w:rsidRPr="007B7C68" w:rsidRDefault="00F56C93" w:rsidP="00F8190A">
            <w:pPr>
              <w:ind w:left="112"/>
              <w:jc w:val="both"/>
              <w:rPr>
                <w:sz w:val="28"/>
                <w:szCs w:val="28"/>
              </w:rPr>
            </w:pPr>
            <w:proofErr w:type="spellStart"/>
            <w:r w:rsidRPr="007B7C68">
              <w:rPr>
                <w:sz w:val="28"/>
                <w:szCs w:val="28"/>
              </w:rPr>
              <w:t>Шараневич</w:t>
            </w:r>
            <w:proofErr w:type="spellEnd"/>
            <w:r w:rsidRPr="007B7C68">
              <w:rPr>
                <w:sz w:val="28"/>
                <w:szCs w:val="28"/>
              </w:rPr>
              <w:t xml:space="preserve"> Ярослава Миколаївна</w:t>
            </w:r>
          </w:p>
          <w:p w:rsidR="00F56C93" w:rsidRPr="007B7C68" w:rsidRDefault="00F56C93" w:rsidP="00F8190A">
            <w:pPr>
              <w:ind w:left="112"/>
              <w:jc w:val="both"/>
              <w:rPr>
                <w:sz w:val="28"/>
                <w:szCs w:val="28"/>
              </w:rPr>
            </w:pPr>
            <w:r w:rsidRPr="007B7C68">
              <w:rPr>
                <w:sz w:val="28"/>
                <w:szCs w:val="28"/>
              </w:rPr>
              <w:t>тел. 032-238-73-70,</w:t>
            </w:r>
          </w:p>
          <w:p w:rsidR="00F56C93" w:rsidRPr="007B7C68" w:rsidRDefault="00F56C93" w:rsidP="00F8190A">
            <w:pPr>
              <w:jc w:val="both"/>
              <w:rPr>
                <w:sz w:val="28"/>
                <w:szCs w:val="28"/>
                <w:lang w:val="ru-RU"/>
              </w:rPr>
            </w:pPr>
            <w:r w:rsidRPr="007B7C68">
              <w:rPr>
                <w:sz w:val="28"/>
                <w:szCs w:val="28"/>
              </w:rPr>
              <w:t xml:space="preserve"> </w:t>
            </w:r>
            <w:hyperlink r:id="rId8" w:history="1">
              <w:r w:rsidRPr="007B7C68">
                <w:rPr>
                  <w:rStyle w:val="a3"/>
                  <w:sz w:val="28"/>
                  <w:szCs w:val="28"/>
                  <w:lang w:val="en-US"/>
                </w:rPr>
                <w:t>lviv</w:t>
              </w:r>
              <w:r w:rsidRPr="007B7C68">
                <w:rPr>
                  <w:rStyle w:val="a3"/>
                  <w:sz w:val="28"/>
                  <w:szCs w:val="28"/>
                  <w:lang w:val="ru-RU"/>
                </w:rPr>
                <w:t>_</w:t>
              </w:r>
              <w:r w:rsidRPr="007B7C68">
                <w:rPr>
                  <w:rStyle w:val="a3"/>
                  <w:sz w:val="28"/>
                  <w:szCs w:val="28"/>
                  <w:lang w:val="en-US"/>
                </w:rPr>
                <w:t>kadry</w:t>
              </w:r>
              <w:r w:rsidRPr="007B7C68">
                <w:rPr>
                  <w:rStyle w:val="a3"/>
                  <w:sz w:val="28"/>
                  <w:szCs w:val="28"/>
                  <w:lang w:val="ru-RU"/>
                </w:rPr>
                <w:t>_</w:t>
              </w:r>
              <w:r w:rsidRPr="007B7C68">
                <w:rPr>
                  <w:rStyle w:val="a3"/>
                  <w:sz w:val="28"/>
                  <w:szCs w:val="28"/>
                  <w:lang w:val="en-US"/>
                </w:rPr>
                <w:t>dei</w:t>
              </w:r>
              <w:r w:rsidRPr="007B7C68">
                <w:rPr>
                  <w:rStyle w:val="a3"/>
                  <w:sz w:val="28"/>
                  <w:szCs w:val="28"/>
                  <w:lang w:val="ru-RU"/>
                </w:rPr>
                <w:t>@</w:t>
              </w:r>
              <w:r w:rsidRPr="007B7C68">
                <w:rPr>
                  <w:rStyle w:val="a3"/>
                  <w:sz w:val="28"/>
                  <w:szCs w:val="28"/>
                  <w:lang w:val="en-US"/>
                </w:rPr>
                <w:t>ukr</w:t>
              </w:r>
              <w:r w:rsidRPr="007B7C68">
                <w:rPr>
                  <w:rStyle w:val="a3"/>
                  <w:sz w:val="28"/>
                  <w:szCs w:val="28"/>
                  <w:lang w:val="ru-RU"/>
                </w:rPr>
                <w:t>.</w:t>
              </w:r>
              <w:r w:rsidRPr="007B7C68">
                <w:rPr>
                  <w:rStyle w:val="a3"/>
                  <w:sz w:val="28"/>
                  <w:szCs w:val="28"/>
                  <w:lang w:val="en-US"/>
                </w:rPr>
                <w:t>net</w:t>
              </w:r>
            </w:hyperlink>
            <w:r w:rsidRPr="007B7C68">
              <w:rPr>
                <w:sz w:val="28"/>
                <w:szCs w:val="28"/>
                <w:lang w:val="ru-RU"/>
              </w:rPr>
              <w:t xml:space="preserve"> </w:t>
            </w:r>
          </w:p>
          <w:p w:rsidR="00F56C93" w:rsidRPr="003A3FFF" w:rsidRDefault="00F56C93" w:rsidP="00F8190A">
            <w:pPr>
              <w:ind w:left="112"/>
              <w:jc w:val="both"/>
            </w:pPr>
          </w:p>
          <w:p w:rsidR="00F56C93" w:rsidRPr="002A7124" w:rsidRDefault="00F56C93" w:rsidP="00F8190A">
            <w:pPr>
              <w:ind w:left="112" w:right="199"/>
              <w:jc w:val="both"/>
              <w:rPr>
                <w:sz w:val="28"/>
                <w:szCs w:val="28"/>
              </w:rPr>
            </w:pPr>
          </w:p>
        </w:tc>
      </w:tr>
      <w:tr w:rsidR="00F56C93" w:rsidRPr="005556CB" w:rsidTr="00F8190A">
        <w:tc>
          <w:tcPr>
            <w:tcW w:w="10485" w:type="dxa"/>
            <w:gridSpan w:val="3"/>
          </w:tcPr>
          <w:p w:rsidR="00F56C93" w:rsidRPr="005556CB" w:rsidRDefault="00F56C93" w:rsidP="00F8190A">
            <w:pPr>
              <w:spacing w:before="100" w:beforeAutospacing="1" w:after="100" w:afterAutospacing="1"/>
              <w:jc w:val="center"/>
              <w:rPr>
                <w:sz w:val="28"/>
                <w:szCs w:val="28"/>
              </w:rPr>
            </w:pPr>
            <w:r w:rsidRPr="005556CB">
              <w:rPr>
                <w:sz w:val="28"/>
                <w:szCs w:val="28"/>
              </w:rPr>
              <w:t>Кваліфікаційні вимоги</w:t>
            </w:r>
          </w:p>
        </w:tc>
      </w:tr>
      <w:tr w:rsidR="00F56C93" w:rsidRPr="005556CB" w:rsidTr="00F8190A">
        <w:tc>
          <w:tcPr>
            <w:tcW w:w="530" w:type="dxa"/>
          </w:tcPr>
          <w:p w:rsidR="00F56C93" w:rsidRPr="005556CB" w:rsidRDefault="00F56C93" w:rsidP="00F8190A">
            <w:pPr>
              <w:spacing w:before="100" w:beforeAutospacing="1" w:after="100" w:afterAutospacing="1"/>
              <w:jc w:val="center"/>
              <w:rPr>
                <w:sz w:val="28"/>
                <w:szCs w:val="28"/>
              </w:rPr>
            </w:pPr>
            <w:r w:rsidRPr="005556CB">
              <w:rPr>
                <w:sz w:val="28"/>
                <w:szCs w:val="28"/>
              </w:rPr>
              <w:t>1</w:t>
            </w:r>
          </w:p>
        </w:tc>
        <w:tc>
          <w:tcPr>
            <w:tcW w:w="3203" w:type="dxa"/>
          </w:tcPr>
          <w:p w:rsidR="00F56C93" w:rsidRPr="005556CB" w:rsidRDefault="00F56C93" w:rsidP="00F8190A">
            <w:pPr>
              <w:spacing w:before="100" w:beforeAutospacing="1" w:after="100" w:afterAutospacing="1"/>
              <w:ind w:left="39"/>
              <w:rPr>
                <w:sz w:val="28"/>
                <w:szCs w:val="28"/>
              </w:rPr>
            </w:pPr>
            <w:r w:rsidRPr="005556CB">
              <w:rPr>
                <w:sz w:val="28"/>
                <w:szCs w:val="28"/>
              </w:rPr>
              <w:t>Освіта</w:t>
            </w:r>
          </w:p>
        </w:tc>
        <w:tc>
          <w:tcPr>
            <w:tcW w:w="6752" w:type="dxa"/>
          </w:tcPr>
          <w:p w:rsidR="00F56C93" w:rsidRPr="005556CB" w:rsidRDefault="00F56C93" w:rsidP="00F8190A">
            <w:pPr>
              <w:ind w:left="112" w:right="130"/>
              <w:jc w:val="both"/>
              <w:rPr>
                <w:sz w:val="28"/>
                <w:szCs w:val="28"/>
              </w:rPr>
            </w:pPr>
            <w:r w:rsidRPr="005556CB">
              <w:rPr>
                <w:rStyle w:val="rvts0"/>
                <w:sz w:val="28"/>
                <w:szCs w:val="28"/>
              </w:rPr>
              <w:t>вища освіта</w:t>
            </w:r>
            <w:r>
              <w:rPr>
                <w:rStyle w:val="rvts0"/>
                <w:sz w:val="28"/>
                <w:szCs w:val="28"/>
              </w:rPr>
              <w:t xml:space="preserve"> </w:t>
            </w:r>
            <w:r w:rsidRPr="005556CB">
              <w:rPr>
                <w:rStyle w:val="rvts0"/>
                <w:sz w:val="28"/>
                <w:szCs w:val="28"/>
              </w:rPr>
              <w:t xml:space="preserve">ступеня не нижче </w:t>
            </w:r>
            <w:r w:rsidRPr="00193E5C">
              <w:rPr>
                <w:rFonts w:eastAsia="Times New Roman"/>
                <w:sz w:val="28"/>
                <w:szCs w:val="28"/>
              </w:rPr>
              <w:t>бакалавра</w:t>
            </w:r>
            <w:r>
              <w:rPr>
                <w:rFonts w:eastAsia="Times New Roman"/>
                <w:sz w:val="28"/>
                <w:szCs w:val="28"/>
              </w:rPr>
              <w:t>, молодшого бакалавра</w:t>
            </w:r>
          </w:p>
        </w:tc>
      </w:tr>
      <w:tr w:rsidR="00F56C93" w:rsidRPr="005556CB" w:rsidTr="00F8190A">
        <w:tc>
          <w:tcPr>
            <w:tcW w:w="530" w:type="dxa"/>
          </w:tcPr>
          <w:p w:rsidR="00F56C93" w:rsidRPr="005556CB" w:rsidRDefault="00F56C93" w:rsidP="00F8190A">
            <w:pPr>
              <w:spacing w:before="100" w:beforeAutospacing="1" w:after="100" w:afterAutospacing="1"/>
              <w:jc w:val="center"/>
              <w:rPr>
                <w:sz w:val="28"/>
                <w:szCs w:val="28"/>
              </w:rPr>
            </w:pPr>
            <w:r w:rsidRPr="005556CB">
              <w:rPr>
                <w:sz w:val="28"/>
                <w:szCs w:val="28"/>
              </w:rPr>
              <w:t>2</w:t>
            </w:r>
          </w:p>
        </w:tc>
        <w:tc>
          <w:tcPr>
            <w:tcW w:w="3203" w:type="dxa"/>
          </w:tcPr>
          <w:p w:rsidR="00F56C93" w:rsidRPr="005556CB" w:rsidRDefault="00F56C93" w:rsidP="00F8190A">
            <w:pPr>
              <w:spacing w:before="100" w:beforeAutospacing="1" w:after="100" w:afterAutospacing="1"/>
              <w:ind w:left="39"/>
              <w:rPr>
                <w:sz w:val="28"/>
                <w:szCs w:val="28"/>
              </w:rPr>
            </w:pPr>
            <w:r w:rsidRPr="005556CB">
              <w:rPr>
                <w:sz w:val="28"/>
                <w:szCs w:val="28"/>
              </w:rPr>
              <w:t>Досвід роботи</w:t>
            </w:r>
          </w:p>
        </w:tc>
        <w:tc>
          <w:tcPr>
            <w:tcW w:w="6752" w:type="dxa"/>
          </w:tcPr>
          <w:p w:rsidR="00F56C93" w:rsidRPr="005556CB" w:rsidRDefault="00F56C93" w:rsidP="00F8190A">
            <w:pPr>
              <w:ind w:left="112" w:right="130"/>
              <w:jc w:val="both"/>
              <w:rPr>
                <w:sz w:val="28"/>
                <w:szCs w:val="28"/>
              </w:rPr>
            </w:pPr>
            <w:r>
              <w:rPr>
                <w:sz w:val="28"/>
                <w:szCs w:val="28"/>
              </w:rPr>
              <w:t>не потребує</w:t>
            </w:r>
          </w:p>
        </w:tc>
      </w:tr>
      <w:tr w:rsidR="00F56C93" w:rsidRPr="005556CB" w:rsidTr="00F8190A">
        <w:tc>
          <w:tcPr>
            <w:tcW w:w="530" w:type="dxa"/>
          </w:tcPr>
          <w:p w:rsidR="00F56C93" w:rsidRPr="005556CB" w:rsidRDefault="00F56C93" w:rsidP="00F8190A">
            <w:pPr>
              <w:spacing w:before="100" w:beforeAutospacing="1" w:after="100" w:afterAutospacing="1"/>
              <w:jc w:val="center"/>
              <w:rPr>
                <w:sz w:val="28"/>
                <w:szCs w:val="28"/>
              </w:rPr>
            </w:pPr>
            <w:r w:rsidRPr="005556CB">
              <w:rPr>
                <w:sz w:val="28"/>
                <w:szCs w:val="28"/>
              </w:rPr>
              <w:t>3</w:t>
            </w:r>
          </w:p>
        </w:tc>
        <w:tc>
          <w:tcPr>
            <w:tcW w:w="3203" w:type="dxa"/>
          </w:tcPr>
          <w:p w:rsidR="00F56C93" w:rsidRPr="005556CB" w:rsidRDefault="00F56C93" w:rsidP="00F8190A">
            <w:pPr>
              <w:spacing w:before="100" w:beforeAutospacing="1" w:after="100" w:afterAutospacing="1"/>
              <w:ind w:left="39"/>
              <w:rPr>
                <w:sz w:val="28"/>
                <w:szCs w:val="28"/>
              </w:rPr>
            </w:pPr>
            <w:r w:rsidRPr="005556CB">
              <w:rPr>
                <w:sz w:val="28"/>
                <w:szCs w:val="28"/>
              </w:rPr>
              <w:t>Володіння державною мовою</w:t>
            </w:r>
          </w:p>
        </w:tc>
        <w:tc>
          <w:tcPr>
            <w:tcW w:w="6752" w:type="dxa"/>
          </w:tcPr>
          <w:p w:rsidR="00F56C93" w:rsidRPr="005556CB" w:rsidRDefault="00F56C93" w:rsidP="00F8190A">
            <w:pPr>
              <w:ind w:left="112" w:right="130"/>
              <w:rPr>
                <w:sz w:val="28"/>
                <w:szCs w:val="28"/>
              </w:rPr>
            </w:pPr>
            <w:r w:rsidRPr="005556CB">
              <w:rPr>
                <w:sz w:val="28"/>
                <w:szCs w:val="28"/>
              </w:rPr>
              <w:t>вільне володіння державною мовою</w:t>
            </w:r>
          </w:p>
        </w:tc>
      </w:tr>
      <w:tr w:rsidR="00F56C93" w:rsidRPr="005556CB" w:rsidTr="00F8190A">
        <w:tc>
          <w:tcPr>
            <w:tcW w:w="530" w:type="dxa"/>
          </w:tcPr>
          <w:p w:rsidR="00F56C93" w:rsidRPr="005556CB" w:rsidRDefault="00F56C93" w:rsidP="00F8190A">
            <w:pPr>
              <w:spacing w:before="100" w:beforeAutospacing="1" w:after="100" w:afterAutospacing="1"/>
              <w:jc w:val="center"/>
              <w:rPr>
                <w:sz w:val="28"/>
                <w:szCs w:val="28"/>
              </w:rPr>
            </w:pPr>
            <w:r w:rsidRPr="005556CB">
              <w:rPr>
                <w:sz w:val="28"/>
                <w:szCs w:val="28"/>
              </w:rPr>
              <w:t>4</w:t>
            </w:r>
          </w:p>
        </w:tc>
        <w:tc>
          <w:tcPr>
            <w:tcW w:w="3203" w:type="dxa"/>
          </w:tcPr>
          <w:p w:rsidR="00F56C93" w:rsidRPr="005556CB" w:rsidRDefault="00F56C93" w:rsidP="00F8190A">
            <w:pPr>
              <w:spacing w:before="100" w:beforeAutospacing="1" w:after="100" w:afterAutospacing="1"/>
              <w:ind w:left="39"/>
              <w:rPr>
                <w:sz w:val="28"/>
                <w:szCs w:val="28"/>
              </w:rPr>
            </w:pPr>
            <w:r w:rsidRPr="005556CB">
              <w:rPr>
                <w:sz w:val="28"/>
                <w:szCs w:val="28"/>
              </w:rPr>
              <w:t>Володіння іноземною мовою</w:t>
            </w:r>
          </w:p>
        </w:tc>
        <w:tc>
          <w:tcPr>
            <w:tcW w:w="6752" w:type="dxa"/>
          </w:tcPr>
          <w:p w:rsidR="00F56C93" w:rsidRPr="005556CB" w:rsidRDefault="00F56C93" w:rsidP="00F8190A">
            <w:pPr>
              <w:ind w:left="112" w:right="130"/>
              <w:rPr>
                <w:sz w:val="28"/>
                <w:szCs w:val="28"/>
              </w:rPr>
            </w:pPr>
            <w:r w:rsidRPr="005556CB">
              <w:rPr>
                <w:sz w:val="28"/>
                <w:szCs w:val="28"/>
              </w:rPr>
              <w:t>не потребує</w:t>
            </w:r>
          </w:p>
        </w:tc>
      </w:tr>
      <w:tr w:rsidR="00F56C93" w:rsidRPr="005556CB" w:rsidTr="00F8190A">
        <w:tc>
          <w:tcPr>
            <w:tcW w:w="10485" w:type="dxa"/>
            <w:gridSpan w:val="3"/>
          </w:tcPr>
          <w:p w:rsidR="00F56C93" w:rsidRPr="005B579B" w:rsidRDefault="00F56C93" w:rsidP="00F8190A">
            <w:pPr>
              <w:ind w:right="130"/>
              <w:jc w:val="center"/>
              <w:rPr>
                <w:sz w:val="28"/>
                <w:szCs w:val="28"/>
              </w:rPr>
            </w:pPr>
            <w:r w:rsidRPr="005B579B">
              <w:rPr>
                <w:sz w:val="28"/>
                <w:szCs w:val="28"/>
              </w:rPr>
              <w:t>Вимоги до компетентності</w:t>
            </w:r>
          </w:p>
        </w:tc>
      </w:tr>
      <w:tr w:rsidR="00F56C93" w:rsidRPr="005556CB" w:rsidTr="00F8190A">
        <w:tc>
          <w:tcPr>
            <w:tcW w:w="3733" w:type="dxa"/>
            <w:gridSpan w:val="2"/>
          </w:tcPr>
          <w:p w:rsidR="00F56C93" w:rsidRPr="005B579B" w:rsidRDefault="00F56C93" w:rsidP="00F8190A">
            <w:pPr>
              <w:spacing w:before="100" w:beforeAutospacing="1" w:after="100" w:afterAutospacing="1"/>
              <w:jc w:val="center"/>
              <w:rPr>
                <w:sz w:val="28"/>
                <w:szCs w:val="28"/>
              </w:rPr>
            </w:pPr>
            <w:r w:rsidRPr="005B579B">
              <w:rPr>
                <w:sz w:val="28"/>
                <w:szCs w:val="28"/>
              </w:rPr>
              <w:t>Вимога</w:t>
            </w:r>
          </w:p>
        </w:tc>
        <w:tc>
          <w:tcPr>
            <w:tcW w:w="6752" w:type="dxa"/>
          </w:tcPr>
          <w:p w:rsidR="00F56C93" w:rsidRPr="005B579B" w:rsidRDefault="00F56C93" w:rsidP="00F8190A">
            <w:pPr>
              <w:ind w:right="130"/>
              <w:jc w:val="center"/>
              <w:rPr>
                <w:sz w:val="28"/>
                <w:szCs w:val="28"/>
              </w:rPr>
            </w:pPr>
            <w:r w:rsidRPr="005B579B">
              <w:rPr>
                <w:sz w:val="28"/>
                <w:szCs w:val="28"/>
              </w:rPr>
              <w:t>Компоненти вимоги</w:t>
            </w:r>
          </w:p>
        </w:tc>
      </w:tr>
      <w:tr w:rsidR="00F56C93" w:rsidRPr="005556CB" w:rsidTr="00F8190A">
        <w:tc>
          <w:tcPr>
            <w:tcW w:w="530" w:type="dxa"/>
          </w:tcPr>
          <w:p w:rsidR="00F56C93" w:rsidRPr="005B579B" w:rsidRDefault="00F56C93" w:rsidP="00F8190A">
            <w:pPr>
              <w:spacing w:before="100" w:beforeAutospacing="1" w:after="100" w:afterAutospacing="1"/>
              <w:jc w:val="center"/>
              <w:rPr>
                <w:sz w:val="28"/>
                <w:szCs w:val="28"/>
              </w:rPr>
            </w:pPr>
            <w:r>
              <w:rPr>
                <w:sz w:val="28"/>
                <w:szCs w:val="28"/>
              </w:rPr>
              <w:t>1.</w:t>
            </w:r>
          </w:p>
        </w:tc>
        <w:tc>
          <w:tcPr>
            <w:tcW w:w="3203" w:type="dxa"/>
            <w:tcBorders>
              <w:bottom w:val="single" w:sz="6" w:space="0" w:color="000000"/>
            </w:tcBorders>
          </w:tcPr>
          <w:p w:rsidR="00F56C93" w:rsidRPr="00B13802" w:rsidRDefault="00F56C93" w:rsidP="00F8190A">
            <w:pPr>
              <w:pBdr>
                <w:top w:val="nil"/>
                <w:left w:val="nil"/>
                <w:bottom w:val="nil"/>
                <w:right w:val="nil"/>
                <w:between w:val="nil"/>
              </w:pBdr>
              <w:ind w:left="176" w:right="106"/>
              <w:rPr>
                <w:rFonts w:eastAsia="Times New Roman"/>
                <w:sz w:val="28"/>
                <w:szCs w:val="28"/>
              </w:rPr>
            </w:pPr>
            <w:r w:rsidRPr="00B13802">
              <w:rPr>
                <w:rFonts w:eastAsia="Times New Roman"/>
                <w:sz w:val="28"/>
                <w:szCs w:val="28"/>
              </w:rPr>
              <w:t>Цифрова грамотність</w:t>
            </w:r>
          </w:p>
        </w:tc>
        <w:tc>
          <w:tcPr>
            <w:tcW w:w="6752" w:type="dxa"/>
            <w:tcBorders>
              <w:bottom w:val="single" w:sz="6" w:space="0" w:color="000000"/>
            </w:tcBorders>
          </w:tcPr>
          <w:p w:rsidR="00F56C93" w:rsidRPr="00B13802" w:rsidRDefault="00F56C93" w:rsidP="00F56C93">
            <w:pPr>
              <w:widowControl w:val="0"/>
              <w:numPr>
                <w:ilvl w:val="0"/>
                <w:numId w:val="1"/>
              </w:numPr>
              <w:pBdr>
                <w:top w:val="nil"/>
                <w:left w:val="nil"/>
                <w:bottom w:val="nil"/>
                <w:right w:val="nil"/>
                <w:between w:val="nil"/>
              </w:pBdr>
              <w:tabs>
                <w:tab w:val="left" w:pos="421"/>
              </w:tabs>
              <w:ind w:left="178" w:right="130" w:firstLine="1"/>
              <w:jc w:val="both"/>
              <w:rPr>
                <w:rFonts w:eastAsia="Times New Roman"/>
                <w:sz w:val="28"/>
                <w:szCs w:val="28"/>
              </w:rPr>
            </w:pPr>
            <w:r w:rsidRPr="00B13802">
              <w:rPr>
                <w:rFonts w:eastAsia="Times New Roman"/>
                <w:sz w:val="28"/>
                <w:szCs w:val="28"/>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F56C93" w:rsidRPr="00B13802" w:rsidRDefault="00F56C93" w:rsidP="00F56C93">
            <w:pPr>
              <w:widowControl w:val="0"/>
              <w:numPr>
                <w:ilvl w:val="0"/>
                <w:numId w:val="1"/>
              </w:numPr>
              <w:pBdr>
                <w:top w:val="nil"/>
                <w:left w:val="nil"/>
                <w:bottom w:val="nil"/>
                <w:right w:val="nil"/>
                <w:between w:val="nil"/>
              </w:pBdr>
              <w:tabs>
                <w:tab w:val="left" w:pos="421"/>
              </w:tabs>
              <w:ind w:left="178" w:right="130" w:firstLine="1"/>
              <w:jc w:val="both"/>
              <w:rPr>
                <w:rFonts w:eastAsia="Times New Roman"/>
                <w:sz w:val="28"/>
                <w:szCs w:val="28"/>
              </w:rPr>
            </w:pPr>
            <w:r w:rsidRPr="00B13802">
              <w:rPr>
                <w:rFonts w:eastAsia="Times New Roman"/>
                <w:sz w:val="28"/>
                <w:szCs w:val="28"/>
              </w:rPr>
              <w:t xml:space="preserve">вміння використовувати сервіси </w:t>
            </w:r>
            <w:proofErr w:type="spellStart"/>
            <w:r w:rsidRPr="00B13802">
              <w:rPr>
                <w:rFonts w:eastAsia="Times New Roman"/>
                <w:sz w:val="28"/>
                <w:szCs w:val="28"/>
              </w:rPr>
              <w:t>інтернету</w:t>
            </w:r>
            <w:proofErr w:type="spellEnd"/>
            <w:r w:rsidRPr="00B13802">
              <w:rPr>
                <w:rFonts w:eastAsia="Times New Roman"/>
                <w:sz w:val="28"/>
                <w:szCs w:val="28"/>
              </w:rPr>
              <w:t xml:space="preserve">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F56C93" w:rsidRPr="00B13802" w:rsidRDefault="00F56C93" w:rsidP="00F56C93">
            <w:pPr>
              <w:widowControl w:val="0"/>
              <w:numPr>
                <w:ilvl w:val="0"/>
                <w:numId w:val="1"/>
              </w:numPr>
              <w:pBdr>
                <w:top w:val="nil"/>
                <w:left w:val="nil"/>
                <w:bottom w:val="nil"/>
                <w:right w:val="nil"/>
                <w:between w:val="nil"/>
              </w:pBdr>
              <w:tabs>
                <w:tab w:val="left" w:pos="421"/>
              </w:tabs>
              <w:ind w:left="178" w:right="130" w:firstLine="1"/>
              <w:jc w:val="both"/>
              <w:rPr>
                <w:rFonts w:eastAsia="Times New Roman"/>
                <w:sz w:val="28"/>
                <w:szCs w:val="28"/>
              </w:rPr>
            </w:pPr>
            <w:r w:rsidRPr="00B13802">
              <w:rPr>
                <w:rFonts w:eastAsia="Times New Roman"/>
                <w:sz w:val="28"/>
                <w:szCs w:val="28"/>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F56C93" w:rsidRPr="00B13802" w:rsidRDefault="00F56C93" w:rsidP="00F56C93">
            <w:pPr>
              <w:widowControl w:val="0"/>
              <w:numPr>
                <w:ilvl w:val="0"/>
                <w:numId w:val="1"/>
              </w:numPr>
              <w:pBdr>
                <w:top w:val="nil"/>
                <w:left w:val="nil"/>
                <w:bottom w:val="nil"/>
                <w:right w:val="nil"/>
                <w:between w:val="nil"/>
              </w:pBdr>
              <w:tabs>
                <w:tab w:val="left" w:pos="421"/>
              </w:tabs>
              <w:ind w:left="178" w:right="130" w:firstLine="1"/>
              <w:jc w:val="both"/>
              <w:rPr>
                <w:rFonts w:eastAsia="Times New Roman"/>
                <w:sz w:val="28"/>
                <w:szCs w:val="28"/>
              </w:rPr>
            </w:pPr>
            <w:r w:rsidRPr="00B13802">
              <w:rPr>
                <w:rFonts w:eastAsia="Times New Roman"/>
                <w:sz w:val="28"/>
                <w:szCs w:val="28"/>
              </w:rPr>
              <w:t>здатність уникати небезпек в цифровому середовищі, захищати особисті та конфіденційні дані;</w:t>
            </w:r>
          </w:p>
          <w:p w:rsidR="00F56C93" w:rsidRPr="00B13802" w:rsidRDefault="00F56C93" w:rsidP="00F56C93">
            <w:pPr>
              <w:widowControl w:val="0"/>
              <w:numPr>
                <w:ilvl w:val="0"/>
                <w:numId w:val="1"/>
              </w:numPr>
              <w:pBdr>
                <w:top w:val="nil"/>
                <w:left w:val="nil"/>
                <w:bottom w:val="nil"/>
                <w:right w:val="nil"/>
                <w:between w:val="nil"/>
              </w:pBdr>
              <w:tabs>
                <w:tab w:val="left" w:pos="421"/>
              </w:tabs>
              <w:ind w:left="178" w:right="130" w:firstLine="1"/>
              <w:jc w:val="both"/>
              <w:rPr>
                <w:rFonts w:eastAsia="Times New Roman"/>
                <w:sz w:val="28"/>
                <w:szCs w:val="28"/>
              </w:rPr>
            </w:pPr>
            <w:r w:rsidRPr="00B13802">
              <w:rPr>
                <w:rFonts w:eastAsia="Times New Roman"/>
                <w:sz w:val="28"/>
                <w:szCs w:val="28"/>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w:t>
            </w:r>
            <w:proofErr w:type="spellStart"/>
            <w:r w:rsidRPr="00B13802">
              <w:rPr>
                <w:rFonts w:eastAsia="Times New Roman"/>
                <w:sz w:val="28"/>
                <w:szCs w:val="28"/>
              </w:rPr>
              <w:t>онлайн</w:t>
            </w:r>
            <w:proofErr w:type="spellEnd"/>
            <w:r w:rsidRPr="00B13802">
              <w:rPr>
                <w:rFonts w:eastAsia="Times New Roman"/>
                <w:sz w:val="28"/>
                <w:szCs w:val="28"/>
              </w:rPr>
              <w:t xml:space="preserve"> календарі, сервіси для підготовки та  спільного редагування </w:t>
            </w:r>
            <w:r w:rsidRPr="00B13802">
              <w:rPr>
                <w:rFonts w:eastAsia="Times New Roman"/>
                <w:sz w:val="28"/>
                <w:szCs w:val="28"/>
              </w:rPr>
              <w:lastRenderedPageBreak/>
              <w:t>документів, вміти користуватись кваліфікованим електронним підписом (КЕП);</w:t>
            </w:r>
          </w:p>
          <w:p w:rsidR="00F56C93" w:rsidRPr="00B13802" w:rsidRDefault="00F56C93" w:rsidP="00F56C93">
            <w:pPr>
              <w:widowControl w:val="0"/>
              <w:numPr>
                <w:ilvl w:val="0"/>
                <w:numId w:val="1"/>
              </w:numPr>
              <w:pBdr>
                <w:top w:val="nil"/>
                <w:left w:val="nil"/>
                <w:bottom w:val="nil"/>
                <w:right w:val="nil"/>
                <w:between w:val="nil"/>
              </w:pBdr>
              <w:tabs>
                <w:tab w:val="left" w:pos="421"/>
              </w:tabs>
              <w:ind w:left="178" w:right="130" w:firstLine="1"/>
              <w:jc w:val="both"/>
              <w:rPr>
                <w:rFonts w:eastAsia="Times New Roman"/>
                <w:sz w:val="28"/>
                <w:szCs w:val="28"/>
              </w:rPr>
            </w:pPr>
            <w:r w:rsidRPr="00B13802">
              <w:rPr>
                <w:rFonts w:eastAsia="Times New Roman"/>
                <w:sz w:val="28"/>
                <w:szCs w:val="28"/>
              </w:rPr>
              <w:t>здатність використовувати відкриті цифрові ресурси для власного професійного розвитку</w:t>
            </w:r>
          </w:p>
        </w:tc>
      </w:tr>
      <w:tr w:rsidR="00F56C93" w:rsidRPr="005556CB" w:rsidTr="00F8190A">
        <w:tc>
          <w:tcPr>
            <w:tcW w:w="530" w:type="dxa"/>
          </w:tcPr>
          <w:p w:rsidR="00F56C93" w:rsidRPr="005B579B" w:rsidRDefault="00F56C93" w:rsidP="00F8190A">
            <w:pPr>
              <w:spacing w:before="100" w:beforeAutospacing="1" w:after="100" w:afterAutospacing="1"/>
              <w:jc w:val="center"/>
              <w:rPr>
                <w:sz w:val="28"/>
                <w:szCs w:val="28"/>
              </w:rPr>
            </w:pPr>
            <w:r>
              <w:rPr>
                <w:sz w:val="28"/>
                <w:szCs w:val="28"/>
              </w:rPr>
              <w:lastRenderedPageBreak/>
              <w:t>2.</w:t>
            </w:r>
          </w:p>
        </w:tc>
        <w:tc>
          <w:tcPr>
            <w:tcW w:w="3203" w:type="dxa"/>
          </w:tcPr>
          <w:p w:rsidR="00F56C93" w:rsidRPr="00153478" w:rsidRDefault="00F56C93" w:rsidP="00F8190A">
            <w:pPr>
              <w:pBdr>
                <w:top w:val="nil"/>
                <w:left w:val="nil"/>
                <w:bottom w:val="nil"/>
                <w:right w:val="nil"/>
                <w:between w:val="nil"/>
              </w:pBdr>
              <w:tabs>
                <w:tab w:val="left" w:pos="1903"/>
              </w:tabs>
              <w:ind w:left="176" w:right="106"/>
              <w:rPr>
                <w:rFonts w:eastAsia="Times New Roman"/>
                <w:color w:val="000000"/>
                <w:sz w:val="28"/>
                <w:szCs w:val="28"/>
              </w:rPr>
            </w:pPr>
            <w:r w:rsidRPr="00153478">
              <w:rPr>
                <w:rFonts w:eastAsia="Times New Roman"/>
                <w:color w:val="000000"/>
                <w:sz w:val="28"/>
                <w:szCs w:val="28"/>
              </w:rPr>
              <w:t>Комунікація та</w:t>
            </w:r>
          </w:p>
          <w:p w:rsidR="00F56C93" w:rsidRPr="00153478" w:rsidRDefault="00F56C93" w:rsidP="00F8190A">
            <w:pPr>
              <w:pBdr>
                <w:top w:val="nil"/>
                <w:left w:val="nil"/>
                <w:bottom w:val="nil"/>
                <w:right w:val="nil"/>
                <w:between w:val="nil"/>
              </w:pBdr>
              <w:ind w:left="176" w:right="106"/>
              <w:rPr>
                <w:rFonts w:eastAsia="Times New Roman"/>
                <w:color w:val="000000"/>
                <w:sz w:val="28"/>
                <w:szCs w:val="28"/>
              </w:rPr>
            </w:pPr>
            <w:r w:rsidRPr="00153478">
              <w:rPr>
                <w:rFonts w:eastAsia="Times New Roman"/>
                <w:color w:val="000000"/>
                <w:sz w:val="28"/>
                <w:szCs w:val="28"/>
              </w:rPr>
              <w:t>взаємодія</w:t>
            </w:r>
          </w:p>
        </w:tc>
        <w:tc>
          <w:tcPr>
            <w:tcW w:w="6752" w:type="dxa"/>
          </w:tcPr>
          <w:p w:rsidR="00F56C93" w:rsidRPr="00153478" w:rsidRDefault="00F56C93" w:rsidP="00F56C93">
            <w:pPr>
              <w:widowControl w:val="0"/>
              <w:numPr>
                <w:ilvl w:val="0"/>
                <w:numId w:val="1"/>
              </w:numPr>
              <w:pBdr>
                <w:top w:val="nil"/>
                <w:left w:val="nil"/>
                <w:bottom w:val="nil"/>
                <w:right w:val="nil"/>
                <w:between w:val="nil"/>
              </w:pBdr>
              <w:tabs>
                <w:tab w:val="left" w:pos="269"/>
              </w:tabs>
              <w:ind w:left="178" w:right="128" w:firstLine="1"/>
              <w:jc w:val="both"/>
              <w:rPr>
                <w:rFonts w:eastAsia="Times New Roman"/>
                <w:color w:val="000000"/>
                <w:sz w:val="28"/>
                <w:szCs w:val="28"/>
              </w:rPr>
            </w:pPr>
            <w:r w:rsidRPr="00153478">
              <w:rPr>
                <w:rFonts w:eastAsia="Times New Roman"/>
                <w:color w:val="000000"/>
                <w:sz w:val="28"/>
                <w:szCs w:val="28"/>
              </w:rPr>
              <w:t>здатність ефективно взаємодіяти – дослухатися, сприймати та викладати думку;</w:t>
            </w:r>
          </w:p>
          <w:p w:rsidR="00F56C93" w:rsidRPr="00153478" w:rsidRDefault="00F56C93" w:rsidP="00F56C93">
            <w:pPr>
              <w:widowControl w:val="0"/>
              <w:numPr>
                <w:ilvl w:val="0"/>
                <w:numId w:val="1"/>
              </w:numPr>
              <w:pBdr>
                <w:top w:val="nil"/>
                <w:left w:val="nil"/>
                <w:bottom w:val="nil"/>
                <w:right w:val="nil"/>
                <w:between w:val="nil"/>
              </w:pBdr>
              <w:tabs>
                <w:tab w:val="left" w:pos="353"/>
              </w:tabs>
              <w:ind w:left="178" w:right="128" w:firstLine="1"/>
              <w:jc w:val="both"/>
              <w:rPr>
                <w:rFonts w:eastAsia="Times New Roman"/>
                <w:color w:val="000000"/>
                <w:sz w:val="28"/>
                <w:szCs w:val="28"/>
              </w:rPr>
            </w:pPr>
            <w:r w:rsidRPr="00153478">
              <w:rPr>
                <w:rFonts w:eastAsia="Times New Roman"/>
                <w:color w:val="000000"/>
                <w:sz w:val="28"/>
                <w:szCs w:val="28"/>
              </w:rPr>
              <w:t>здатність переконувати інших за допомогою аргументів та послідовної комунікації</w:t>
            </w:r>
          </w:p>
        </w:tc>
      </w:tr>
      <w:tr w:rsidR="00F56C93" w:rsidRPr="005556CB" w:rsidTr="00F8190A">
        <w:tc>
          <w:tcPr>
            <w:tcW w:w="530" w:type="dxa"/>
          </w:tcPr>
          <w:p w:rsidR="00F56C93" w:rsidRDefault="00F56C93" w:rsidP="00F8190A">
            <w:pPr>
              <w:spacing w:before="100" w:beforeAutospacing="1" w:after="100" w:afterAutospacing="1"/>
              <w:jc w:val="center"/>
              <w:rPr>
                <w:sz w:val="28"/>
                <w:szCs w:val="28"/>
              </w:rPr>
            </w:pPr>
            <w:r>
              <w:rPr>
                <w:sz w:val="28"/>
                <w:szCs w:val="28"/>
              </w:rPr>
              <w:t>3.</w:t>
            </w:r>
          </w:p>
        </w:tc>
        <w:tc>
          <w:tcPr>
            <w:tcW w:w="3203" w:type="dxa"/>
          </w:tcPr>
          <w:p w:rsidR="00F56C93" w:rsidRPr="00153478" w:rsidRDefault="00F56C93" w:rsidP="00F8190A">
            <w:pPr>
              <w:pBdr>
                <w:top w:val="nil"/>
                <w:left w:val="nil"/>
                <w:bottom w:val="nil"/>
                <w:right w:val="nil"/>
                <w:between w:val="nil"/>
              </w:pBdr>
              <w:tabs>
                <w:tab w:val="left" w:pos="1903"/>
              </w:tabs>
              <w:ind w:left="176" w:right="106"/>
              <w:rPr>
                <w:rFonts w:eastAsia="Times New Roman"/>
                <w:color w:val="000000"/>
                <w:sz w:val="28"/>
                <w:szCs w:val="28"/>
              </w:rPr>
            </w:pPr>
            <w:r>
              <w:rPr>
                <w:rFonts w:eastAsia="Times New Roman"/>
                <w:color w:val="000000"/>
                <w:sz w:val="28"/>
                <w:szCs w:val="28"/>
              </w:rPr>
              <w:t>Якісне виконання поставлених завдань</w:t>
            </w:r>
          </w:p>
        </w:tc>
        <w:tc>
          <w:tcPr>
            <w:tcW w:w="6752" w:type="dxa"/>
          </w:tcPr>
          <w:p w:rsidR="00F56C93" w:rsidRDefault="00F56C93" w:rsidP="00F56C93">
            <w:pPr>
              <w:widowControl w:val="0"/>
              <w:numPr>
                <w:ilvl w:val="0"/>
                <w:numId w:val="1"/>
              </w:numPr>
              <w:pBdr>
                <w:top w:val="nil"/>
                <w:left w:val="nil"/>
                <w:bottom w:val="nil"/>
                <w:right w:val="nil"/>
                <w:between w:val="nil"/>
              </w:pBdr>
              <w:tabs>
                <w:tab w:val="left" w:pos="269"/>
              </w:tabs>
              <w:ind w:left="178" w:right="128" w:firstLine="1"/>
              <w:jc w:val="both"/>
              <w:rPr>
                <w:rFonts w:eastAsia="Times New Roman"/>
                <w:color w:val="000000"/>
                <w:sz w:val="28"/>
                <w:szCs w:val="28"/>
              </w:rPr>
            </w:pPr>
            <w:r>
              <w:rPr>
                <w:rFonts w:eastAsia="Times New Roman"/>
                <w:color w:val="000000"/>
                <w:sz w:val="28"/>
                <w:szCs w:val="28"/>
              </w:rPr>
              <w:t>чітке і точне формулювання мети, цілей і завдань службової діяльності;</w:t>
            </w:r>
          </w:p>
          <w:p w:rsidR="00F56C93" w:rsidRDefault="00F56C93" w:rsidP="00F56C93">
            <w:pPr>
              <w:widowControl w:val="0"/>
              <w:numPr>
                <w:ilvl w:val="0"/>
                <w:numId w:val="1"/>
              </w:numPr>
              <w:pBdr>
                <w:top w:val="nil"/>
                <w:left w:val="nil"/>
                <w:bottom w:val="nil"/>
                <w:right w:val="nil"/>
                <w:between w:val="nil"/>
              </w:pBdr>
              <w:tabs>
                <w:tab w:val="left" w:pos="269"/>
              </w:tabs>
              <w:ind w:left="178" w:right="128" w:firstLine="1"/>
              <w:jc w:val="both"/>
              <w:rPr>
                <w:rFonts w:eastAsia="Times New Roman"/>
                <w:color w:val="000000"/>
                <w:sz w:val="28"/>
                <w:szCs w:val="28"/>
              </w:rPr>
            </w:pPr>
            <w:r>
              <w:rPr>
                <w:rFonts w:eastAsia="Times New Roman"/>
                <w:color w:val="000000"/>
                <w:sz w:val="28"/>
                <w:szCs w:val="28"/>
              </w:rPr>
              <w:t>комплексний підхід до виконання завдань, виявлення ризиків;</w:t>
            </w:r>
          </w:p>
          <w:p w:rsidR="00F56C93" w:rsidRPr="00153478" w:rsidRDefault="00F56C93" w:rsidP="00F56C93">
            <w:pPr>
              <w:widowControl w:val="0"/>
              <w:numPr>
                <w:ilvl w:val="0"/>
                <w:numId w:val="1"/>
              </w:numPr>
              <w:pBdr>
                <w:top w:val="nil"/>
                <w:left w:val="nil"/>
                <w:bottom w:val="nil"/>
                <w:right w:val="nil"/>
                <w:between w:val="nil"/>
              </w:pBdr>
              <w:tabs>
                <w:tab w:val="left" w:pos="269"/>
              </w:tabs>
              <w:ind w:left="178" w:right="128" w:firstLine="1"/>
              <w:jc w:val="both"/>
              <w:rPr>
                <w:rFonts w:eastAsia="Times New Roman"/>
                <w:color w:val="000000"/>
                <w:sz w:val="28"/>
                <w:szCs w:val="28"/>
              </w:rPr>
            </w:pPr>
            <w:r>
              <w:rPr>
                <w:rFonts w:eastAsia="Times New Roman"/>
                <w:color w:val="000000"/>
                <w:sz w:val="28"/>
                <w:szCs w:val="28"/>
              </w:rPr>
              <w:t>розуміння змісту завдання і його кінцевих результатів, самостійне визначення можливих шляхів досягнення</w:t>
            </w:r>
          </w:p>
        </w:tc>
      </w:tr>
      <w:tr w:rsidR="00F56C93" w:rsidRPr="005556CB" w:rsidTr="00F8190A">
        <w:tc>
          <w:tcPr>
            <w:tcW w:w="530" w:type="dxa"/>
          </w:tcPr>
          <w:p w:rsidR="00F56C93" w:rsidRDefault="00F56C93" w:rsidP="00F8190A">
            <w:pPr>
              <w:spacing w:before="100" w:beforeAutospacing="1" w:after="100" w:afterAutospacing="1"/>
              <w:jc w:val="center"/>
              <w:rPr>
                <w:sz w:val="28"/>
                <w:szCs w:val="28"/>
              </w:rPr>
            </w:pPr>
            <w:r>
              <w:rPr>
                <w:sz w:val="28"/>
                <w:szCs w:val="28"/>
              </w:rPr>
              <w:t>4.</w:t>
            </w:r>
          </w:p>
        </w:tc>
        <w:tc>
          <w:tcPr>
            <w:tcW w:w="3203" w:type="dxa"/>
          </w:tcPr>
          <w:p w:rsidR="00F56C93" w:rsidRPr="00153478" w:rsidRDefault="00F56C93" w:rsidP="00F8190A">
            <w:pPr>
              <w:pBdr>
                <w:top w:val="nil"/>
                <w:left w:val="nil"/>
                <w:bottom w:val="nil"/>
                <w:right w:val="nil"/>
                <w:between w:val="nil"/>
              </w:pBdr>
              <w:ind w:left="176" w:right="106"/>
              <w:rPr>
                <w:rFonts w:eastAsia="Times New Roman"/>
                <w:color w:val="000000"/>
                <w:sz w:val="28"/>
                <w:szCs w:val="28"/>
              </w:rPr>
            </w:pPr>
            <w:r>
              <w:rPr>
                <w:rFonts w:eastAsia="Times New Roman"/>
                <w:color w:val="000000"/>
                <w:sz w:val="28"/>
                <w:szCs w:val="28"/>
              </w:rPr>
              <w:t>Командна робота та взаємодія</w:t>
            </w:r>
          </w:p>
        </w:tc>
        <w:tc>
          <w:tcPr>
            <w:tcW w:w="6752" w:type="dxa"/>
          </w:tcPr>
          <w:p w:rsidR="00F56C93" w:rsidRDefault="00F56C93" w:rsidP="00F56C93">
            <w:pPr>
              <w:widowControl w:val="0"/>
              <w:numPr>
                <w:ilvl w:val="0"/>
                <w:numId w:val="1"/>
              </w:numPr>
              <w:pBdr>
                <w:top w:val="nil"/>
                <w:left w:val="nil"/>
                <w:bottom w:val="nil"/>
                <w:right w:val="nil"/>
                <w:between w:val="nil"/>
              </w:pBdr>
              <w:tabs>
                <w:tab w:val="left" w:pos="414"/>
                <w:tab w:val="left" w:pos="415"/>
                <w:tab w:val="left" w:pos="1911"/>
                <w:tab w:val="left" w:pos="2408"/>
                <w:tab w:val="left" w:pos="4144"/>
              </w:tabs>
              <w:ind w:left="178" w:right="272" w:firstLine="1"/>
              <w:jc w:val="both"/>
              <w:rPr>
                <w:rFonts w:eastAsia="Times New Roman"/>
                <w:color w:val="000000"/>
                <w:sz w:val="28"/>
                <w:szCs w:val="28"/>
              </w:rPr>
            </w:pPr>
            <w:r>
              <w:rPr>
                <w:rFonts w:eastAsia="Times New Roman"/>
                <w:color w:val="000000"/>
                <w:sz w:val="28"/>
                <w:szCs w:val="28"/>
              </w:rPr>
              <w:t>орієнтація на командний результат;</w:t>
            </w:r>
          </w:p>
          <w:p w:rsidR="00F56C93" w:rsidRDefault="00F56C93" w:rsidP="00F56C93">
            <w:pPr>
              <w:widowControl w:val="0"/>
              <w:numPr>
                <w:ilvl w:val="0"/>
                <w:numId w:val="1"/>
              </w:numPr>
              <w:pBdr>
                <w:top w:val="nil"/>
                <w:left w:val="nil"/>
                <w:bottom w:val="nil"/>
                <w:right w:val="nil"/>
                <w:between w:val="nil"/>
              </w:pBdr>
              <w:tabs>
                <w:tab w:val="left" w:pos="414"/>
                <w:tab w:val="left" w:pos="415"/>
                <w:tab w:val="left" w:pos="1911"/>
                <w:tab w:val="left" w:pos="2408"/>
                <w:tab w:val="left" w:pos="4144"/>
              </w:tabs>
              <w:ind w:left="178" w:right="272" w:firstLine="1"/>
              <w:jc w:val="both"/>
              <w:rPr>
                <w:rFonts w:eastAsia="Times New Roman"/>
                <w:color w:val="000000"/>
                <w:sz w:val="28"/>
                <w:szCs w:val="28"/>
              </w:rPr>
            </w:pPr>
            <w:r>
              <w:rPr>
                <w:rFonts w:eastAsia="Times New Roman"/>
                <w:color w:val="000000"/>
                <w:sz w:val="28"/>
                <w:szCs w:val="28"/>
              </w:rPr>
              <w:t>готовність працювати в команді та сприяти колегам у їх професійній діяльності задля досягнення загальних цілей;</w:t>
            </w:r>
          </w:p>
          <w:p w:rsidR="00F56C93" w:rsidRPr="00153478" w:rsidRDefault="00F56C93" w:rsidP="00F56C93">
            <w:pPr>
              <w:widowControl w:val="0"/>
              <w:numPr>
                <w:ilvl w:val="0"/>
                <w:numId w:val="1"/>
              </w:numPr>
              <w:pBdr>
                <w:top w:val="nil"/>
                <w:left w:val="nil"/>
                <w:bottom w:val="nil"/>
                <w:right w:val="nil"/>
                <w:between w:val="nil"/>
              </w:pBdr>
              <w:tabs>
                <w:tab w:val="left" w:pos="414"/>
                <w:tab w:val="left" w:pos="415"/>
                <w:tab w:val="left" w:pos="1911"/>
                <w:tab w:val="left" w:pos="2408"/>
                <w:tab w:val="left" w:pos="4144"/>
              </w:tabs>
              <w:ind w:left="178" w:right="272" w:firstLine="1"/>
              <w:jc w:val="both"/>
              <w:rPr>
                <w:rFonts w:eastAsia="Times New Roman"/>
                <w:color w:val="000000"/>
                <w:sz w:val="28"/>
                <w:szCs w:val="28"/>
              </w:rPr>
            </w:pPr>
            <w:r>
              <w:rPr>
                <w:rFonts w:eastAsia="Times New Roman"/>
                <w:color w:val="000000"/>
                <w:sz w:val="28"/>
                <w:szCs w:val="28"/>
              </w:rPr>
              <w:t>відкритість в обміні інформацією</w:t>
            </w:r>
          </w:p>
        </w:tc>
      </w:tr>
      <w:tr w:rsidR="00F56C93" w:rsidRPr="005556CB" w:rsidTr="00F8190A">
        <w:tc>
          <w:tcPr>
            <w:tcW w:w="10485" w:type="dxa"/>
            <w:gridSpan w:val="3"/>
          </w:tcPr>
          <w:p w:rsidR="00F56C93" w:rsidRPr="005556CB" w:rsidRDefault="00F56C93" w:rsidP="00F8190A">
            <w:pPr>
              <w:keepNext/>
              <w:keepLines/>
              <w:ind w:left="176" w:right="136"/>
              <w:jc w:val="center"/>
              <w:rPr>
                <w:sz w:val="28"/>
                <w:szCs w:val="28"/>
              </w:rPr>
            </w:pPr>
            <w:r w:rsidRPr="005556CB">
              <w:rPr>
                <w:sz w:val="28"/>
                <w:szCs w:val="28"/>
              </w:rPr>
              <w:t>Професійні знання</w:t>
            </w:r>
          </w:p>
        </w:tc>
      </w:tr>
      <w:tr w:rsidR="00F56C93" w:rsidRPr="005556CB" w:rsidTr="00F8190A">
        <w:tc>
          <w:tcPr>
            <w:tcW w:w="3733" w:type="dxa"/>
            <w:gridSpan w:val="2"/>
          </w:tcPr>
          <w:p w:rsidR="00F56C93" w:rsidRPr="005556CB" w:rsidRDefault="00F56C93" w:rsidP="00F8190A">
            <w:pPr>
              <w:spacing w:before="100" w:beforeAutospacing="1" w:after="100" w:afterAutospacing="1"/>
              <w:jc w:val="center"/>
              <w:rPr>
                <w:sz w:val="28"/>
                <w:szCs w:val="28"/>
              </w:rPr>
            </w:pPr>
            <w:r w:rsidRPr="005556CB">
              <w:rPr>
                <w:sz w:val="28"/>
                <w:szCs w:val="28"/>
              </w:rPr>
              <w:t>Вимога</w:t>
            </w:r>
          </w:p>
        </w:tc>
        <w:tc>
          <w:tcPr>
            <w:tcW w:w="6752" w:type="dxa"/>
          </w:tcPr>
          <w:p w:rsidR="00F56C93" w:rsidRPr="005556CB" w:rsidRDefault="00F56C93" w:rsidP="00F8190A">
            <w:pPr>
              <w:ind w:right="164"/>
              <w:jc w:val="center"/>
              <w:rPr>
                <w:sz w:val="28"/>
                <w:szCs w:val="28"/>
              </w:rPr>
            </w:pPr>
            <w:r w:rsidRPr="005556CB">
              <w:rPr>
                <w:sz w:val="28"/>
                <w:szCs w:val="28"/>
              </w:rPr>
              <w:t>Компоненти вимоги</w:t>
            </w:r>
          </w:p>
        </w:tc>
      </w:tr>
      <w:tr w:rsidR="00F56C93" w:rsidRPr="005556CB" w:rsidTr="00F8190A">
        <w:tc>
          <w:tcPr>
            <w:tcW w:w="530" w:type="dxa"/>
          </w:tcPr>
          <w:p w:rsidR="00F56C93" w:rsidRPr="005556CB" w:rsidRDefault="00F56C93" w:rsidP="00F8190A">
            <w:pPr>
              <w:spacing w:before="100" w:beforeAutospacing="1" w:after="100" w:afterAutospacing="1"/>
              <w:jc w:val="center"/>
              <w:rPr>
                <w:sz w:val="28"/>
                <w:szCs w:val="28"/>
              </w:rPr>
            </w:pPr>
            <w:r w:rsidRPr="005556CB">
              <w:rPr>
                <w:sz w:val="28"/>
                <w:szCs w:val="28"/>
              </w:rPr>
              <w:t>1</w:t>
            </w:r>
          </w:p>
        </w:tc>
        <w:tc>
          <w:tcPr>
            <w:tcW w:w="3203" w:type="dxa"/>
          </w:tcPr>
          <w:p w:rsidR="00F56C93" w:rsidRPr="005556CB" w:rsidRDefault="00F56C93" w:rsidP="00F8190A">
            <w:pPr>
              <w:keepNext/>
              <w:keepLines/>
              <w:spacing w:before="60" w:beforeAutospacing="1" w:afterAutospacing="1"/>
              <w:ind w:left="39"/>
              <w:rPr>
                <w:sz w:val="28"/>
                <w:szCs w:val="28"/>
              </w:rPr>
            </w:pPr>
            <w:r w:rsidRPr="005556CB">
              <w:rPr>
                <w:sz w:val="28"/>
                <w:szCs w:val="28"/>
              </w:rPr>
              <w:t>Знання законодавства</w:t>
            </w:r>
          </w:p>
        </w:tc>
        <w:tc>
          <w:tcPr>
            <w:tcW w:w="6752" w:type="dxa"/>
          </w:tcPr>
          <w:p w:rsidR="00F56C93" w:rsidRPr="005556CB" w:rsidRDefault="00F56C93" w:rsidP="00F8190A">
            <w:pPr>
              <w:ind w:left="74" w:right="164"/>
              <w:jc w:val="both"/>
              <w:rPr>
                <w:sz w:val="28"/>
                <w:szCs w:val="28"/>
              </w:rPr>
            </w:pPr>
            <w:r w:rsidRPr="005556CB">
              <w:rPr>
                <w:sz w:val="28"/>
                <w:szCs w:val="28"/>
              </w:rPr>
              <w:t>Знання:</w:t>
            </w:r>
          </w:p>
          <w:p w:rsidR="00F56C93" w:rsidRPr="005556CB" w:rsidRDefault="00F56C93" w:rsidP="00F8190A">
            <w:pPr>
              <w:ind w:left="74" w:right="164"/>
              <w:jc w:val="both"/>
              <w:rPr>
                <w:sz w:val="28"/>
                <w:szCs w:val="28"/>
              </w:rPr>
            </w:pPr>
            <w:r w:rsidRPr="005556CB">
              <w:rPr>
                <w:sz w:val="28"/>
                <w:szCs w:val="28"/>
              </w:rPr>
              <w:t>Конституції України;</w:t>
            </w:r>
          </w:p>
          <w:p w:rsidR="00F56C93" w:rsidRPr="005556CB" w:rsidRDefault="00F56C93" w:rsidP="00F8190A">
            <w:pPr>
              <w:ind w:left="74" w:right="164"/>
              <w:jc w:val="both"/>
              <w:rPr>
                <w:sz w:val="28"/>
                <w:szCs w:val="28"/>
              </w:rPr>
            </w:pPr>
            <w:r w:rsidRPr="005556CB">
              <w:rPr>
                <w:sz w:val="28"/>
                <w:szCs w:val="28"/>
              </w:rPr>
              <w:t>Закону України “Про державну службу”;</w:t>
            </w:r>
          </w:p>
          <w:p w:rsidR="00F56C93" w:rsidRPr="005556CB" w:rsidRDefault="00F56C93" w:rsidP="00F8190A">
            <w:pPr>
              <w:ind w:right="164"/>
              <w:jc w:val="both"/>
              <w:rPr>
                <w:sz w:val="28"/>
                <w:szCs w:val="28"/>
              </w:rPr>
            </w:pPr>
            <w:r w:rsidRPr="005556CB">
              <w:rPr>
                <w:sz w:val="28"/>
                <w:szCs w:val="28"/>
              </w:rPr>
              <w:t xml:space="preserve"> Закону України “Про запобігання корупції”</w:t>
            </w:r>
          </w:p>
          <w:p w:rsidR="00F56C93" w:rsidRPr="005556CB" w:rsidRDefault="00F56C93" w:rsidP="00F8190A">
            <w:pPr>
              <w:ind w:right="164"/>
              <w:jc w:val="both"/>
              <w:rPr>
                <w:sz w:val="28"/>
                <w:szCs w:val="28"/>
              </w:rPr>
            </w:pPr>
            <w:r>
              <w:rPr>
                <w:sz w:val="28"/>
                <w:szCs w:val="28"/>
              </w:rPr>
              <w:t xml:space="preserve"> та іншого законодавства</w:t>
            </w:r>
          </w:p>
        </w:tc>
      </w:tr>
      <w:tr w:rsidR="00F56C93" w:rsidRPr="005556CB" w:rsidTr="00F8190A">
        <w:tc>
          <w:tcPr>
            <w:tcW w:w="530" w:type="dxa"/>
          </w:tcPr>
          <w:p w:rsidR="00F56C93" w:rsidRPr="005556CB" w:rsidRDefault="00F56C93" w:rsidP="00F8190A">
            <w:pPr>
              <w:spacing w:before="100" w:beforeAutospacing="1" w:after="100" w:afterAutospacing="1"/>
              <w:jc w:val="center"/>
              <w:rPr>
                <w:sz w:val="28"/>
                <w:szCs w:val="28"/>
              </w:rPr>
            </w:pPr>
            <w:r w:rsidRPr="005556CB">
              <w:rPr>
                <w:sz w:val="28"/>
                <w:szCs w:val="28"/>
              </w:rPr>
              <w:t>2</w:t>
            </w:r>
          </w:p>
        </w:tc>
        <w:tc>
          <w:tcPr>
            <w:tcW w:w="3203" w:type="dxa"/>
          </w:tcPr>
          <w:p w:rsidR="00F56C93" w:rsidRDefault="00F56C93" w:rsidP="00F8190A">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у сфері</w:t>
            </w:r>
          </w:p>
          <w:p w:rsidR="00F56C93" w:rsidRPr="005556CB" w:rsidRDefault="00F56C93" w:rsidP="00F8190A">
            <w:pPr>
              <w:keepNext/>
              <w:keepLines/>
              <w:spacing w:before="60" w:beforeAutospacing="1" w:afterAutospacing="1"/>
              <w:ind w:left="39"/>
              <w:rPr>
                <w:sz w:val="28"/>
                <w:szCs w:val="28"/>
              </w:rPr>
            </w:pPr>
          </w:p>
        </w:tc>
        <w:tc>
          <w:tcPr>
            <w:tcW w:w="6752" w:type="dxa"/>
          </w:tcPr>
          <w:p w:rsidR="00F56C93" w:rsidRPr="009950DB" w:rsidRDefault="00F56C93" w:rsidP="00F8190A">
            <w:pPr>
              <w:ind w:left="126" w:right="104"/>
              <w:rPr>
                <w:rFonts w:eastAsia="Times New Roman"/>
                <w:sz w:val="28"/>
                <w:szCs w:val="28"/>
                <w:lang w:val="ru-RU" w:eastAsia="ru-RU"/>
              </w:rPr>
            </w:pPr>
            <w:r w:rsidRPr="009950DB">
              <w:rPr>
                <w:rFonts w:eastAsia="Times New Roman"/>
                <w:sz w:val="28"/>
                <w:szCs w:val="28"/>
                <w:lang w:eastAsia="ru-RU"/>
              </w:rPr>
              <w:t>Знання</w:t>
            </w:r>
            <w:r w:rsidRPr="009950DB">
              <w:rPr>
                <w:rFonts w:eastAsia="Times New Roman"/>
                <w:sz w:val="28"/>
                <w:szCs w:val="28"/>
                <w:lang w:val="ru-RU" w:eastAsia="ru-RU"/>
              </w:rPr>
              <w:t>:</w:t>
            </w:r>
          </w:p>
          <w:p w:rsidR="00F56C93" w:rsidRPr="009950DB" w:rsidRDefault="00F56C93" w:rsidP="00F8190A">
            <w:pPr>
              <w:ind w:left="126" w:right="104"/>
              <w:rPr>
                <w:rFonts w:eastAsia="Times New Roman"/>
                <w:sz w:val="28"/>
                <w:szCs w:val="28"/>
                <w:lang w:eastAsia="ru-RU"/>
              </w:rPr>
            </w:pPr>
            <w:r w:rsidRPr="009950DB">
              <w:rPr>
                <w:rFonts w:eastAsia="Times New Roman"/>
                <w:sz w:val="28"/>
                <w:szCs w:val="28"/>
                <w:lang w:eastAsia="ru-RU"/>
              </w:rPr>
              <w:t>Закону України “Про звернення громадян”;</w:t>
            </w:r>
          </w:p>
          <w:p w:rsidR="00F56C93" w:rsidRPr="009950DB" w:rsidRDefault="00F56C93" w:rsidP="00F8190A">
            <w:pPr>
              <w:tabs>
                <w:tab w:val="left" w:pos="394"/>
                <w:tab w:val="left" w:pos="536"/>
              </w:tabs>
              <w:suppressAutoHyphens/>
              <w:ind w:left="112" w:right="149"/>
              <w:textAlignment w:val="baseline"/>
              <w:rPr>
                <w:sz w:val="28"/>
                <w:szCs w:val="28"/>
              </w:rPr>
            </w:pPr>
            <w:r w:rsidRPr="009950DB">
              <w:rPr>
                <w:sz w:val="28"/>
                <w:szCs w:val="28"/>
              </w:rPr>
              <w:t>Закон України</w:t>
            </w:r>
            <w:r w:rsidRPr="009950DB">
              <w:rPr>
                <w:color w:val="000000"/>
                <w:sz w:val="28"/>
                <w:szCs w:val="28"/>
              </w:rPr>
              <w:t xml:space="preserve"> «Про охорону навколишнього природного середовища»;</w:t>
            </w:r>
          </w:p>
          <w:p w:rsidR="00F56C93" w:rsidRDefault="00F56C93" w:rsidP="00F8190A">
            <w:pPr>
              <w:tabs>
                <w:tab w:val="left" w:pos="394"/>
                <w:tab w:val="left" w:pos="536"/>
              </w:tabs>
              <w:suppressAutoHyphens/>
              <w:ind w:left="76" w:right="149"/>
              <w:textAlignment w:val="baseline"/>
              <w:rPr>
                <w:color w:val="000000"/>
                <w:sz w:val="28"/>
                <w:szCs w:val="28"/>
              </w:rPr>
            </w:pPr>
            <w:r w:rsidRPr="009950DB">
              <w:rPr>
                <w:sz w:val="28"/>
                <w:szCs w:val="28"/>
              </w:rPr>
              <w:t>Закон України</w:t>
            </w:r>
            <w:r w:rsidRPr="009950DB">
              <w:rPr>
                <w:color w:val="000000"/>
                <w:sz w:val="28"/>
                <w:szCs w:val="28"/>
              </w:rPr>
              <w:t xml:space="preserve"> «Про основні засади державного нагляду (контролю) у сфері господарської діяльності»;</w:t>
            </w:r>
          </w:p>
          <w:p w:rsidR="004B4395" w:rsidRPr="009950DB" w:rsidRDefault="004B4395" w:rsidP="00F8190A">
            <w:pPr>
              <w:tabs>
                <w:tab w:val="left" w:pos="394"/>
                <w:tab w:val="left" w:pos="536"/>
              </w:tabs>
              <w:suppressAutoHyphens/>
              <w:ind w:left="76" w:right="149"/>
              <w:textAlignment w:val="baseline"/>
              <w:rPr>
                <w:sz w:val="28"/>
                <w:szCs w:val="28"/>
              </w:rPr>
            </w:pPr>
            <w:r>
              <w:rPr>
                <w:color w:val="000000"/>
                <w:sz w:val="28"/>
                <w:szCs w:val="28"/>
              </w:rPr>
              <w:t>Закон України «Про державний ринковий нагляд і контроль нехарчової продукції»;</w:t>
            </w:r>
          </w:p>
          <w:p w:rsidR="00F56C93" w:rsidRPr="005556CB" w:rsidRDefault="00F56C93" w:rsidP="006C0F11">
            <w:pPr>
              <w:ind w:left="126" w:right="104"/>
              <w:rPr>
                <w:sz w:val="28"/>
                <w:szCs w:val="28"/>
              </w:rPr>
            </w:pPr>
            <w:r w:rsidRPr="009950DB">
              <w:rPr>
                <w:rFonts w:eastAsia="Times New Roman"/>
                <w:sz w:val="28"/>
                <w:szCs w:val="28"/>
                <w:lang w:eastAsia="zh-CN"/>
              </w:rPr>
              <w:t>постанови Кабінету Міністрів України</w:t>
            </w:r>
            <w:r w:rsidR="006C0F11">
              <w:rPr>
                <w:rFonts w:eastAsia="Times New Roman"/>
                <w:sz w:val="28"/>
                <w:szCs w:val="28"/>
                <w:lang w:eastAsia="zh-CN"/>
              </w:rPr>
              <w:t xml:space="preserve"> від 19.04.2017 </w:t>
            </w:r>
            <w:r w:rsidRPr="009950DB">
              <w:rPr>
                <w:rFonts w:eastAsia="Times New Roman"/>
                <w:sz w:val="28"/>
                <w:szCs w:val="28"/>
                <w:lang w:eastAsia="zh-CN"/>
              </w:rPr>
              <w:t xml:space="preserve">  № 275 “Про затвердження Положення про Державну екологічну інспекцію України” (із змінами).</w:t>
            </w:r>
          </w:p>
        </w:tc>
      </w:tr>
    </w:tbl>
    <w:p w:rsidR="009F4E19" w:rsidRDefault="009F4E19"/>
    <w:sectPr w:rsidR="009F4E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00C1A53"/>
    <w:multiLevelType w:val="hybridMultilevel"/>
    <w:tmpl w:val="F97EE184"/>
    <w:lvl w:ilvl="0" w:tplc="63AE8670">
      <w:start w:val="17"/>
      <w:numFmt w:val="bullet"/>
      <w:lvlText w:val="-"/>
      <w:lvlJc w:val="left"/>
      <w:pPr>
        <w:ind w:left="402" w:hanging="360"/>
      </w:pPr>
      <w:rPr>
        <w:rFonts w:ascii="Times New Roman" w:eastAsia="Calibri" w:hAnsi="Times New Roman" w:cs="Times New Roman" w:hint="default"/>
        <w:color w:val="auto"/>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93"/>
    <w:rsid w:val="00156DAF"/>
    <w:rsid w:val="00254080"/>
    <w:rsid w:val="003C1F7D"/>
    <w:rsid w:val="00436BC0"/>
    <w:rsid w:val="00460EEB"/>
    <w:rsid w:val="004B4395"/>
    <w:rsid w:val="00551338"/>
    <w:rsid w:val="005A33B5"/>
    <w:rsid w:val="006045AD"/>
    <w:rsid w:val="00670B42"/>
    <w:rsid w:val="006831B8"/>
    <w:rsid w:val="006C0F11"/>
    <w:rsid w:val="00842405"/>
    <w:rsid w:val="008C5312"/>
    <w:rsid w:val="009464C3"/>
    <w:rsid w:val="009F4E19"/>
    <w:rsid w:val="00B74FC4"/>
    <w:rsid w:val="00CB05CB"/>
    <w:rsid w:val="00E26C59"/>
    <w:rsid w:val="00F137D4"/>
    <w:rsid w:val="00F2222F"/>
    <w:rsid w:val="00F349DD"/>
    <w:rsid w:val="00F56C93"/>
    <w:rsid w:val="00F740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93"/>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F56C93"/>
    <w:rPr>
      <w:rFonts w:cs="Times New Roman"/>
    </w:rPr>
  </w:style>
  <w:style w:type="character" w:customStyle="1" w:styleId="rvts0">
    <w:name w:val="rvts0"/>
    <w:rsid w:val="00F56C93"/>
    <w:rPr>
      <w:rFonts w:cs="Times New Roman"/>
    </w:rPr>
  </w:style>
  <w:style w:type="character" w:customStyle="1" w:styleId="rvts37">
    <w:name w:val="rvts37"/>
    <w:basedOn w:val="a0"/>
    <w:rsid w:val="00F56C93"/>
  </w:style>
  <w:style w:type="character" w:styleId="a3">
    <w:name w:val="Hyperlink"/>
    <w:semiHidden/>
    <w:rsid w:val="00F56C93"/>
    <w:rPr>
      <w:rFonts w:cs="Times New Roman"/>
      <w:color w:val="0000FF"/>
      <w:u w:val="single"/>
    </w:rPr>
  </w:style>
  <w:style w:type="paragraph" w:styleId="a4">
    <w:name w:val="Normal (Web)"/>
    <w:basedOn w:val="a"/>
    <w:rsid w:val="00E26C59"/>
    <w:pPr>
      <w:spacing w:before="100" w:beforeAutospacing="1" w:after="100" w:afterAutospacing="1"/>
    </w:pPr>
    <w:rPr>
      <w:rFonts w:eastAsia="Times New Roman"/>
      <w:lang w:val="ru-RU" w:eastAsia="ru-RU"/>
    </w:rPr>
  </w:style>
  <w:style w:type="paragraph" w:styleId="2">
    <w:name w:val="Body Text Indent 2"/>
    <w:basedOn w:val="a"/>
    <w:link w:val="20"/>
    <w:rsid w:val="00E26C59"/>
    <w:pPr>
      <w:ind w:firstLine="680"/>
      <w:jc w:val="both"/>
    </w:pPr>
    <w:rPr>
      <w:rFonts w:eastAsia="Times New Roman"/>
      <w:sz w:val="28"/>
      <w:szCs w:val="20"/>
      <w:lang w:eastAsia="ru-RU"/>
    </w:rPr>
  </w:style>
  <w:style w:type="character" w:customStyle="1" w:styleId="20">
    <w:name w:val="Основной текст с отступом 2 Знак"/>
    <w:basedOn w:val="a0"/>
    <w:link w:val="2"/>
    <w:rsid w:val="00E26C59"/>
    <w:rPr>
      <w:rFonts w:ascii="Times New Roman" w:eastAsia="Times New Roman" w:hAnsi="Times New Roman" w:cs="Times New Roman"/>
      <w:sz w:val="28"/>
      <w:szCs w:val="20"/>
      <w:lang w:eastAsia="ru-RU"/>
    </w:rPr>
  </w:style>
  <w:style w:type="paragraph" w:customStyle="1" w:styleId="FR1">
    <w:name w:val="FR1"/>
    <w:rsid w:val="00E26C59"/>
    <w:pPr>
      <w:widowControl w:val="0"/>
      <w:suppressAutoHyphens/>
      <w:autoSpaceDE w:val="0"/>
      <w:spacing w:before="300" w:after="0" w:line="240" w:lineRule="auto"/>
      <w:ind w:left="720"/>
    </w:pPr>
    <w:rPr>
      <w:rFonts w:ascii="Arial" w:eastAsia="Times New Roman" w:hAnsi="Arial" w:cs="Arial"/>
      <w:sz w:val="20"/>
      <w:szCs w:val="20"/>
      <w:lang w:eastAsia="zh-CN"/>
    </w:rPr>
  </w:style>
  <w:style w:type="paragraph" w:styleId="a5">
    <w:name w:val="List Paragraph"/>
    <w:basedOn w:val="a"/>
    <w:uiPriority w:val="34"/>
    <w:qFormat/>
    <w:rsid w:val="003C1F7D"/>
    <w:pPr>
      <w:ind w:left="720"/>
      <w:contextualSpacing/>
    </w:pPr>
  </w:style>
  <w:style w:type="paragraph" w:customStyle="1" w:styleId="rvps14">
    <w:name w:val="rvps14"/>
    <w:basedOn w:val="a"/>
    <w:rsid w:val="006045A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93"/>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F56C93"/>
    <w:rPr>
      <w:rFonts w:cs="Times New Roman"/>
    </w:rPr>
  </w:style>
  <w:style w:type="character" w:customStyle="1" w:styleId="rvts0">
    <w:name w:val="rvts0"/>
    <w:rsid w:val="00F56C93"/>
    <w:rPr>
      <w:rFonts w:cs="Times New Roman"/>
    </w:rPr>
  </w:style>
  <w:style w:type="character" w:customStyle="1" w:styleId="rvts37">
    <w:name w:val="rvts37"/>
    <w:basedOn w:val="a0"/>
    <w:rsid w:val="00F56C93"/>
  </w:style>
  <w:style w:type="character" w:styleId="a3">
    <w:name w:val="Hyperlink"/>
    <w:semiHidden/>
    <w:rsid w:val="00F56C93"/>
    <w:rPr>
      <w:rFonts w:cs="Times New Roman"/>
      <w:color w:val="0000FF"/>
      <w:u w:val="single"/>
    </w:rPr>
  </w:style>
  <w:style w:type="paragraph" w:styleId="a4">
    <w:name w:val="Normal (Web)"/>
    <w:basedOn w:val="a"/>
    <w:rsid w:val="00E26C59"/>
    <w:pPr>
      <w:spacing w:before="100" w:beforeAutospacing="1" w:after="100" w:afterAutospacing="1"/>
    </w:pPr>
    <w:rPr>
      <w:rFonts w:eastAsia="Times New Roman"/>
      <w:lang w:val="ru-RU" w:eastAsia="ru-RU"/>
    </w:rPr>
  </w:style>
  <w:style w:type="paragraph" w:styleId="2">
    <w:name w:val="Body Text Indent 2"/>
    <w:basedOn w:val="a"/>
    <w:link w:val="20"/>
    <w:rsid w:val="00E26C59"/>
    <w:pPr>
      <w:ind w:firstLine="680"/>
      <w:jc w:val="both"/>
    </w:pPr>
    <w:rPr>
      <w:rFonts w:eastAsia="Times New Roman"/>
      <w:sz w:val="28"/>
      <w:szCs w:val="20"/>
      <w:lang w:eastAsia="ru-RU"/>
    </w:rPr>
  </w:style>
  <w:style w:type="character" w:customStyle="1" w:styleId="20">
    <w:name w:val="Основной текст с отступом 2 Знак"/>
    <w:basedOn w:val="a0"/>
    <w:link w:val="2"/>
    <w:rsid w:val="00E26C59"/>
    <w:rPr>
      <w:rFonts w:ascii="Times New Roman" w:eastAsia="Times New Roman" w:hAnsi="Times New Roman" w:cs="Times New Roman"/>
      <w:sz w:val="28"/>
      <w:szCs w:val="20"/>
      <w:lang w:eastAsia="ru-RU"/>
    </w:rPr>
  </w:style>
  <w:style w:type="paragraph" w:customStyle="1" w:styleId="FR1">
    <w:name w:val="FR1"/>
    <w:rsid w:val="00E26C59"/>
    <w:pPr>
      <w:widowControl w:val="0"/>
      <w:suppressAutoHyphens/>
      <w:autoSpaceDE w:val="0"/>
      <w:spacing w:before="300" w:after="0" w:line="240" w:lineRule="auto"/>
      <w:ind w:left="720"/>
    </w:pPr>
    <w:rPr>
      <w:rFonts w:ascii="Arial" w:eastAsia="Times New Roman" w:hAnsi="Arial" w:cs="Arial"/>
      <w:sz w:val="20"/>
      <w:szCs w:val="20"/>
      <w:lang w:eastAsia="zh-CN"/>
    </w:rPr>
  </w:style>
  <w:style w:type="paragraph" w:styleId="a5">
    <w:name w:val="List Paragraph"/>
    <w:basedOn w:val="a"/>
    <w:uiPriority w:val="34"/>
    <w:qFormat/>
    <w:rsid w:val="003C1F7D"/>
    <w:pPr>
      <w:ind w:left="720"/>
      <w:contextualSpacing/>
    </w:pPr>
  </w:style>
  <w:style w:type="paragraph" w:customStyle="1" w:styleId="rvps14">
    <w:name w:val="rvps14"/>
    <w:basedOn w:val="a"/>
    <w:rsid w:val="006045A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iv_kadry_dei@ukr.net" TargetMode="External"/><Relationship Id="rId3" Type="http://schemas.microsoft.com/office/2007/relationships/stylesWithEffects" Target="stylesWithEffects.xml"/><Relationship Id="rId7" Type="http://schemas.openxmlformats.org/officeDocument/2006/relationships/hyperlink" Target="http://zakon3.rada.gov.ua/laws/show/1682-18/paran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5571</Words>
  <Characters>3176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11</cp:revision>
  <dcterms:created xsi:type="dcterms:W3CDTF">2022-01-25T11:57:00Z</dcterms:created>
  <dcterms:modified xsi:type="dcterms:W3CDTF">2022-02-07T09:44:00Z</dcterms:modified>
</cp:coreProperties>
</file>